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4F" w:rsidRDefault="000F1152" w:rsidP="00E2034F">
      <w:pPr>
        <w:pStyle w:val="Ttulo1"/>
        <w:pageBreakBefore/>
        <w:spacing w:before="0" w:after="0" w:line="320" w:lineRule="atLeast"/>
        <w:jc w:val="center"/>
      </w:pPr>
      <w:r>
        <w:t>C</w:t>
      </w:r>
      <w:r w:rsidR="00E2034F">
        <w:t xml:space="preserve">omo </w:t>
      </w:r>
      <w:r w:rsidR="00D030C3">
        <w:t>s</w:t>
      </w:r>
      <w:r w:rsidR="00E2034F">
        <w:t>aber se eficiências evitam aumentos de preços?</w:t>
      </w:r>
      <w:r>
        <w:t xml:space="preserve"> Simulação de fusões e análise de eficiências</w:t>
      </w:r>
    </w:p>
    <w:p w:rsidR="001E5B2E" w:rsidRDefault="001E5B2E" w:rsidP="00E2034F">
      <w:pPr>
        <w:spacing w:before="0" w:after="0" w:line="320" w:lineRule="atLeast"/>
        <w:jc w:val="right"/>
        <w:rPr>
          <w:rFonts w:ascii="Times New Roman" w:hAnsi="Times New Roman"/>
          <w:sz w:val="24"/>
          <w:lang w:val="pt-BR"/>
        </w:rPr>
      </w:pPr>
    </w:p>
    <w:p w:rsidR="00E2034F" w:rsidRPr="00E2034F" w:rsidRDefault="00E2034F" w:rsidP="00E2034F">
      <w:pPr>
        <w:spacing w:before="0" w:after="0" w:line="320" w:lineRule="atLeast"/>
        <w:jc w:val="right"/>
        <w:rPr>
          <w:rFonts w:ascii="Times New Roman" w:hAnsi="Times New Roman"/>
          <w:sz w:val="24"/>
          <w:lang w:val="pt-BR"/>
        </w:rPr>
      </w:pPr>
      <w:r w:rsidRPr="00E2034F">
        <w:rPr>
          <w:rFonts w:ascii="Times New Roman" w:hAnsi="Times New Roman"/>
          <w:sz w:val="24"/>
          <w:lang w:val="pt-BR"/>
        </w:rPr>
        <w:t>Jorge Fagundes (Doutor pela UFRJ e sócio da Fagundes&amp;Associados)</w:t>
      </w:r>
    </w:p>
    <w:p w:rsidR="00E2034F" w:rsidRPr="00E2034F" w:rsidRDefault="00E2034F" w:rsidP="00E2034F">
      <w:pPr>
        <w:spacing w:before="0" w:after="0" w:line="320" w:lineRule="atLeast"/>
        <w:jc w:val="right"/>
        <w:rPr>
          <w:rFonts w:ascii="Times New Roman" w:hAnsi="Times New Roman"/>
          <w:sz w:val="24"/>
          <w:lang w:val="pt-BR"/>
        </w:rPr>
      </w:pPr>
      <w:r w:rsidRPr="00E2034F">
        <w:rPr>
          <w:rFonts w:ascii="Times New Roman" w:hAnsi="Times New Roman"/>
          <w:sz w:val="24"/>
          <w:lang w:val="pt-BR"/>
        </w:rPr>
        <w:t>Marislei Nishijima (Profa. Doutora da EACH-USP)</w:t>
      </w:r>
    </w:p>
    <w:p w:rsidR="00E2034F" w:rsidRPr="00E2034F" w:rsidRDefault="00E2034F" w:rsidP="00E2034F">
      <w:pPr>
        <w:spacing w:before="0" w:after="0" w:line="320" w:lineRule="atLeast"/>
        <w:jc w:val="right"/>
        <w:rPr>
          <w:rFonts w:ascii="Times New Roman" w:hAnsi="Times New Roman"/>
          <w:sz w:val="24"/>
          <w:lang w:val="pt-BR"/>
        </w:rPr>
      </w:pPr>
      <w:r w:rsidRPr="00E2034F">
        <w:rPr>
          <w:rFonts w:ascii="Times New Roman" w:hAnsi="Times New Roman"/>
          <w:sz w:val="24"/>
          <w:lang w:val="pt-BR"/>
        </w:rPr>
        <w:t>Marcos André de Mattos Lima (Doutorando pela PUC/RJ e associado da Fagundes&amp;Associados)</w:t>
      </w:r>
    </w:p>
    <w:p w:rsidR="00E2034F" w:rsidRPr="00E2034F" w:rsidRDefault="00E2034F" w:rsidP="00E2034F">
      <w:pPr>
        <w:spacing w:before="0" w:after="0" w:line="320" w:lineRule="atLeast"/>
        <w:jc w:val="right"/>
        <w:rPr>
          <w:rFonts w:ascii="Times New Roman" w:hAnsi="Times New Roman"/>
          <w:sz w:val="24"/>
          <w:lang w:val="pt-BR"/>
        </w:rPr>
      </w:pPr>
      <w:r w:rsidRPr="00E2034F">
        <w:rPr>
          <w:rFonts w:ascii="Times New Roman" w:hAnsi="Times New Roman"/>
          <w:sz w:val="24"/>
          <w:lang w:val="pt-BR"/>
        </w:rPr>
        <w:t>Maria Margarete da Rocha (Doutora pela FEA/USP e associada da Fagundes&amp;Associados)</w:t>
      </w:r>
    </w:p>
    <w:p w:rsidR="00E2034F" w:rsidRDefault="00E2034F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Pr="008040E1" w:rsidRDefault="00E2034F" w:rsidP="00E2034F">
      <w:pPr>
        <w:spacing w:before="0" w:after="0" w:line="320" w:lineRule="atLeast"/>
        <w:rPr>
          <w:rFonts w:ascii="Times New Roman" w:hAnsi="Times New Roman"/>
          <w:b/>
          <w:sz w:val="24"/>
          <w:lang w:val="pt-BR"/>
        </w:rPr>
      </w:pPr>
      <w:r w:rsidRPr="008040E1">
        <w:rPr>
          <w:rFonts w:ascii="Times New Roman" w:hAnsi="Times New Roman"/>
          <w:b/>
          <w:sz w:val="24"/>
          <w:lang w:val="pt-BR"/>
        </w:rPr>
        <w:t>I - Introdução</w:t>
      </w:r>
    </w:p>
    <w:p w:rsidR="00E2034F" w:rsidRDefault="00E2034F" w:rsidP="00E2034F">
      <w:pPr>
        <w:pStyle w:val="Corpodetexto2"/>
        <w:spacing w:before="0" w:after="0" w:line="320" w:lineRule="atLeast"/>
        <w:rPr>
          <w:rFonts w:ascii="Times New Roman" w:hAnsi="Times New Roman"/>
          <w:color w:val="auto"/>
          <w:sz w:val="24"/>
        </w:rPr>
      </w:pPr>
    </w:p>
    <w:p w:rsidR="00E2034F" w:rsidRPr="004768EC" w:rsidRDefault="00E2034F" w:rsidP="00E2034F">
      <w:pPr>
        <w:pStyle w:val="Corpodetexto2"/>
        <w:spacing w:before="0" w:after="0" w:line="320" w:lineRule="atLeast"/>
        <w:rPr>
          <w:rFonts w:ascii="Times New Roman" w:hAnsi="Times New Roman"/>
          <w:color w:val="auto"/>
          <w:sz w:val="24"/>
        </w:rPr>
      </w:pPr>
      <w:r w:rsidRPr="004768EC">
        <w:rPr>
          <w:rFonts w:ascii="Times New Roman" w:hAnsi="Times New Roman"/>
          <w:color w:val="auto"/>
          <w:sz w:val="24"/>
        </w:rPr>
        <w:t>O Guia H para análise de atos de concentração, bem como a jurisprudência nacional e internacional, reconhece que fusões que apresentem uma probabilidade</w:t>
      </w:r>
      <w:r w:rsidR="0089128A" w:rsidRPr="004768EC">
        <w:rPr>
          <w:rFonts w:ascii="Times New Roman" w:hAnsi="Times New Roman"/>
          <w:color w:val="auto"/>
          <w:sz w:val="24"/>
        </w:rPr>
        <w:t xml:space="preserve"> significativa</w:t>
      </w:r>
      <w:r w:rsidRPr="004768EC">
        <w:rPr>
          <w:rFonts w:ascii="Times New Roman" w:hAnsi="Times New Roman"/>
          <w:color w:val="auto"/>
          <w:sz w:val="24"/>
        </w:rPr>
        <w:t xml:space="preserve"> de gerar exercício de poder de mercado unilateral podem ser benéficas para a sociedade</w:t>
      </w:r>
      <w:r w:rsidR="000F1152">
        <w:rPr>
          <w:rFonts w:ascii="Times New Roman" w:hAnsi="Times New Roman"/>
          <w:color w:val="auto"/>
          <w:sz w:val="24"/>
        </w:rPr>
        <w:t>,</w:t>
      </w:r>
      <w:r w:rsidRPr="004768EC">
        <w:rPr>
          <w:rFonts w:ascii="Times New Roman" w:hAnsi="Times New Roman"/>
          <w:color w:val="auto"/>
          <w:sz w:val="24"/>
        </w:rPr>
        <w:t xml:space="preserve"> </w:t>
      </w:r>
      <w:r w:rsidR="006D6D07">
        <w:rPr>
          <w:rFonts w:ascii="Times New Roman" w:hAnsi="Times New Roman"/>
          <w:color w:val="auto"/>
          <w:sz w:val="24"/>
        </w:rPr>
        <w:t xml:space="preserve">desde que </w:t>
      </w:r>
      <w:r w:rsidR="000F1152">
        <w:rPr>
          <w:rFonts w:ascii="Times New Roman" w:hAnsi="Times New Roman"/>
          <w:color w:val="auto"/>
          <w:sz w:val="24"/>
        </w:rPr>
        <w:t>esta probabilidade</w:t>
      </w:r>
      <w:r w:rsidR="004768EC">
        <w:rPr>
          <w:rFonts w:ascii="Times New Roman" w:hAnsi="Times New Roman"/>
          <w:color w:val="auto"/>
          <w:sz w:val="24"/>
        </w:rPr>
        <w:t xml:space="preserve"> </w:t>
      </w:r>
      <w:r w:rsidR="0089128A" w:rsidRPr="004768EC">
        <w:rPr>
          <w:rFonts w:ascii="Times New Roman" w:hAnsi="Times New Roman"/>
          <w:color w:val="auto"/>
          <w:sz w:val="24"/>
        </w:rPr>
        <w:t xml:space="preserve">seja </w:t>
      </w:r>
      <w:r w:rsidRPr="004768EC">
        <w:rPr>
          <w:rFonts w:ascii="Times New Roman" w:hAnsi="Times New Roman"/>
          <w:color w:val="auto"/>
          <w:sz w:val="24"/>
        </w:rPr>
        <w:t xml:space="preserve">anulada pelas eficiências por elas geradas. </w:t>
      </w:r>
    </w:p>
    <w:p w:rsidR="00E2034F" w:rsidRDefault="00E2034F" w:rsidP="00E2034F">
      <w:pPr>
        <w:pStyle w:val="Corpodetexto2"/>
        <w:spacing w:before="0" w:after="0" w:line="320" w:lineRule="atLeast"/>
        <w:rPr>
          <w:rFonts w:ascii="Times New Roman" w:hAnsi="Times New Roman"/>
          <w:color w:val="auto"/>
          <w:sz w:val="24"/>
        </w:rPr>
      </w:pPr>
    </w:p>
    <w:p w:rsidR="00E2034F" w:rsidRPr="004768EC" w:rsidRDefault="00E2034F" w:rsidP="00E2034F">
      <w:pPr>
        <w:pStyle w:val="Corpodetexto2"/>
        <w:spacing w:before="0" w:after="0" w:line="320" w:lineRule="atLeas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Em particular, se o critério de bem</w:t>
      </w:r>
      <w:r w:rsidR="00AC6030"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>estar social uti</w:t>
      </w:r>
      <w:r w:rsidR="004768EC">
        <w:rPr>
          <w:rFonts w:ascii="Times New Roman" w:hAnsi="Times New Roman"/>
          <w:color w:val="auto"/>
          <w:sz w:val="24"/>
        </w:rPr>
        <w:t>lizado pela agência antitruste for</w:t>
      </w:r>
      <w:r>
        <w:rPr>
          <w:rFonts w:ascii="Times New Roman" w:hAnsi="Times New Roman"/>
          <w:color w:val="auto"/>
          <w:sz w:val="24"/>
        </w:rPr>
        <w:t xml:space="preserve"> o do </w:t>
      </w:r>
      <w:r w:rsidRPr="00E2034F">
        <w:rPr>
          <w:rFonts w:ascii="Times New Roman" w:hAnsi="Times New Roman"/>
          <w:i/>
          <w:color w:val="auto"/>
          <w:sz w:val="24"/>
        </w:rPr>
        <w:t>excedente do consumidor</w:t>
      </w:r>
      <w:r>
        <w:rPr>
          <w:rFonts w:ascii="Times New Roman" w:hAnsi="Times New Roman"/>
          <w:color w:val="auto"/>
          <w:sz w:val="24"/>
        </w:rPr>
        <w:t>, uma fusão produzirá um efeito não negativo sobre o bem</w:t>
      </w:r>
      <w:r w:rsidR="00AC6030">
        <w:rPr>
          <w:rFonts w:ascii="Times New Roman" w:hAnsi="Times New Roman"/>
          <w:color w:val="auto"/>
          <w:sz w:val="24"/>
        </w:rPr>
        <w:t>-estar</w:t>
      </w:r>
      <w:r>
        <w:rPr>
          <w:rFonts w:ascii="Times New Roman" w:hAnsi="Times New Roman"/>
          <w:color w:val="auto"/>
          <w:sz w:val="24"/>
        </w:rPr>
        <w:t xml:space="preserve"> caso as eficiências dela derivadas sejam tais que a firma fusionada – ainda </w:t>
      </w:r>
      <w:r w:rsidRPr="004768EC">
        <w:rPr>
          <w:rFonts w:ascii="Times New Roman" w:hAnsi="Times New Roman"/>
          <w:color w:val="auto"/>
          <w:sz w:val="24"/>
        </w:rPr>
        <w:t xml:space="preserve">que </w:t>
      </w:r>
      <w:r w:rsidR="00AC6030">
        <w:rPr>
          <w:rFonts w:ascii="Times New Roman" w:hAnsi="Times New Roman"/>
          <w:color w:val="auto"/>
          <w:sz w:val="24"/>
        </w:rPr>
        <w:t xml:space="preserve">obtenha </w:t>
      </w:r>
      <w:r w:rsidRPr="004768EC">
        <w:rPr>
          <w:rFonts w:ascii="Times New Roman" w:hAnsi="Times New Roman"/>
          <w:color w:val="auto"/>
          <w:sz w:val="24"/>
        </w:rPr>
        <w:t xml:space="preserve">poder de mercado – </w:t>
      </w:r>
      <w:r w:rsidR="00AC6030">
        <w:rPr>
          <w:rFonts w:ascii="Times New Roman" w:hAnsi="Times New Roman"/>
          <w:color w:val="auto"/>
          <w:sz w:val="24"/>
        </w:rPr>
        <w:t>reduza (ou mantenha) seus preços pós-operação como resultado de sua maximização de lucros</w:t>
      </w:r>
      <w:r w:rsidRPr="004768EC">
        <w:rPr>
          <w:rFonts w:ascii="Times New Roman" w:hAnsi="Times New Roman"/>
          <w:color w:val="auto"/>
          <w:sz w:val="24"/>
        </w:rPr>
        <w:t xml:space="preserve">. Isso pode ocorrer na medida em que seus custos variáveis </w:t>
      </w:r>
      <w:r w:rsidR="000F1152">
        <w:rPr>
          <w:rFonts w:ascii="Times New Roman" w:hAnsi="Times New Roman"/>
          <w:color w:val="auto"/>
          <w:sz w:val="24"/>
        </w:rPr>
        <w:t xml:space="preserve">(Proxy para custos marginais) </w:t>
      </w:r>
      <w:r w:rsidRPr="004768EC">
        <w:rPr>
          <w:rFonts w:ascii="Times New Roman" w:hAnsi="Times New Roman"/>
          <w:color w:val="auto"/>
          <w:sz w:val="24"/>
        </w:rPr>
        <w:t>ca</w:t>
      </w:r>
      <w:r w:rsidR="00AC6030">
        <w:rPr>
          <w:rFonts w:ascii="Times New Roman" w:hAnsi="Times New Roman"/>
          <w:color w:val="auto"/>
          <w:sz w:val="24"/>
        </w:rPr>
        <w:t xml:space="preserve">iam </w:t>
      </w:r>
      <w:r w:rsidRPr="004768EC">
        <w:rPr>
          <w:rFonts w:ascii="Times New Roman" w:hAnsi="Times New Roman"/>
          <w:color w:val="auto"/>
          <w:sz w:val="24"/>
        </w:rPr>
        <w:t xml:space="preserve">o suficiente para viabilizar reduções </w:t>
      </w:r>
      <w:r w:rsidR="00B47283" w:rsidRPr="004768EC">
        <w:rPr>
          <w:rFonts w:ascii="Times New Roman" w:hAnsi="Times New Roman"/>
          <w:color w:val="auto"/>
          <w:sz w:val="24"/>
        </w:rPr>
        <w:t xml:space="preserve">(manutenção) </w:t>
      </w:r>
      <w:r w:rsidRPr="004768EC">
        <w:rPr>
          <w:rFonts w:ascii="Times New Roman" w:hAnsi="Times New Roman"/>
          <w:color w:val="auto"/>
          <w:sz w:val="24"/>
        </w:rPr>
        <w:t xml:space="preserve">de preços – com o conseqüente aumento </w:t>
      </w:r>
      <w:r w:rsidR="00B47283" w:rsidRPr="004768EC">
        <w:rPr>
          <w:rFonts w:ascii="Times New Roman" w:hAnsi="Times New Roman"/>
          <w:color w:val="auto"/>
          <w:sz w:val="24"/>
        </w:rPr>
        <w:t xml:space="preserve">(manutenção) </w:t>
      </w:r>
      <w:r w:rsidRPr="004768EC">
        <w:rPr>
          <w:rFonts w:ascii="Times New Roman" w:hAnsi="Times New Roman"/>
          <w:color w:val="auto"/>
          <w:sz w:val="24"/>
        </w:rPr>
        <w:t>da quantidade vendida – e</w:t>
      </w:r>
      <w:r w:rsidR="00B47283" w:rsidRPr="004768EC">
        <w:rPr>
          <w:rFonts w:ascii="Times New Roman" w:hAnsi="Times New Roman"/>
          <w:color w:val="auto"/>
          <w:sz w:val="24"/>
        </w:rPr>
        <w:t>, simultaneamente,</w:t>
      </w:r>
      <w:r w:rsidRPr="004768EC">
        <w:rPr>
          <w:rFonts w:ascii="Times New Roman" w:hAnsi="Times New Roman"/>
          <w:color w:val="auto"/>
          <w:sz w:val="24"/>
        </w:rPr>
        <w:t xml:space="preserve"> incremento da margem de lucro.</w:t>
      </w:r>
    </w:p>
    <w:p w:rsidR="00E2034F" w:rsidRPr="004768EC" w:rsidRDefault="00E2034F" w:rsidP="00E2034F">
      <w:pPr>
        <w:pStyle w:val="Corpodetexto2"/>
        <w:spacing w:before="0" w:after="0" w:line="320" w:lineRule="atLeast"/>
        <w:rPr>
          <w:rFonts w:ascii="Times New Roman" w:hAnsi="Times New Roman"/>
          <w:color w:val="auto"/>
          <w:sz w:val="24"/>
        </w:rPr>
      </w:pPr>
    </w:p>
    <w:p w:rsidR="00B47283" w:rsidRPr="004768EC" w:rsidRDefault="00E2034F" w:rsidP="00E2034F">
      <w:pPr>
        <w:pStyle w:val="Corpodetexto2"/>
        <w:spacing w:before="0" w:after="0" w:line="320" w:lineRule="atLeast"/>
        <w:rPr>
          <w:rFonts w:ascii="Times New Roman" w:hAnsi="Times New Roman"/>
          <w:color w:val="auto"/>
          <w:sz w:val="24"/>
        </w:rPr>
      </w:pPr>
      <w:r w:rsidRPr="000F1152">
        <w:rPr>
          <w:rFonts w:ascii="Times New Roman" w:hAnsi="Times New Roman"/>
          <w:b/>
          <w:color w:val="auto"/>
          <w:sz w:val="24"/>
        </w:rPr>
        <w:t>Neste contexto, a questão básica do ponto de vista prático é: como implementar a última etapa do Guia H</w:t>
      </w:r>
      <w:r w:rsidR="004768EC" w:rsidRPr="000F1152">
        <w:rPr>
          <w:rFonts w:ascii="Times New Roman" w:hAnsi="Times New Roman"/>
          <w:b/>
          <w:color w:val="auto"/>
          <w:sz w:val="24"/>
        </w:rPr>
        <w:t xml:space="preserve"> de maneira objetiva</w:t>
      </w:r>
      <w:r w:rsidRPr="000F1152">
        <w:rPr>
          <w:rFonts w:ascii="Times New Roman" w:hAnsi="Times New Roman"/>
          <w:b/>
          <w:color w:val="auto"/>
          <w:sz w:val="24"/>
        </w:rPr>
        <w:t xml:space="preserve">? Como </w:t>
      </w:r>
      <w:r w:rsidR="004768EC" w:rsidRPr="000F1152">
        <w:rPr>
          <w:rFonts w:ascii="Times New Roman" w:hAnsi="Times New Roman"/>
          <w:b/>
          <w:color w:val="auto"/>
          <w:sz w:val="24"/>
        </w:rPr>
        <w:t xml:space="preserve">mensurar se </w:t>
      </w:r>
      <w:r w:rsidRPr="000F1152">
        <w:rPr>
          <w:rFonts w:ascii="Times New Roman" w:hAnsi="Times New Roman"/>
          <w:b/>
          <w:color w:val="auto"/>
          <w:sz w:val="24"/>
        </w:rPr>
        <w:t xml:space="preserve">de fato </w:t>
      </w:r>
      <w:r w:rsidR="006D6D07" w:rsidRPr="000F1152">
        <w:rPr>
          <w:rFonts w:ascii="Times New Roman" w:hAnsi="Times New Roman"/>
          <w:b/>
          <w:color w:val="auto"/>
          <w:sz w:val="24"/>
        </w:rPr>
        <w:t xml:space="preserve">os ganhos com </w:t>
      </w:r>
      <w:r w:rsidRPr="000F1152">
        <w:rPr>
          <w:rFonts w:ascii="Times New Roman" w:hAnsi="Times New Roman"/>
          <w:b/>
          <w:color w:val="auto"/>
          <w:sz w:val="24"/>
        </w:rPr>
        <w:t xml:space="preserve">as eficiências </w:t>
      </w:r>
      <w:r w:rsidR="004768EC" w:rsidRPr="000F1152">
        <w:rPr>
          <w:rFonts w:ascii="Times New Roman" w:hAnsi="Times New Roman"/>
          <w:b/>
          <w:color w:val="auto"/>
          <w:sz w:val="24"/>
        </w:rPr>
        <w:t>geradas com a fusão sobrepõe</w:t>
      </w:r>
      <w:r w:rsidR="00C9382E" w:rsidRPr="000F1152">
        <w:rPr>
          <w:rFonts w:ascii="Times New Roman" w:hAnsi="Times New Roman"/>
          <w:b/>
          <w:color w:val="auto"/>
          <w:sz w:val="24"/>
        </w:rPr>
        <w:t>m</w:t>
      </w:r>
      <w:r w:rsidR="004768EC" w:rsidRPr="000F1152">
        <w:rPr>
          <w:rFonts w:ascii="Times New Roman" w:hAnsi="Times New Roman"/>
          <w:b/>
          <w:color w:val="auto"/>
          <w:sz w:val="24"/>
        </w:rPr>
        <w:t xml:space="preserve"> seus custos</w:t>
      </w:r>
      <w:r w:rsidRPr="000F1152">
        <w:rPr>
          <w:rFonts w:ascii="Times New Roman" w:hAnsi="Times New Roman"/>
          <w:b/>
          <w:color w:val="auto"/>
          <w:sz w:val="24"/>
        </w:rPr>
        <w:t>?</w:t>
      </w:r>
      <w:r w:rsidR="00B47283" w:rsidRPr="000F1152">
        <w:rPr>
          <w:rFonts w:ascii="Times New Roman" w:hAnsi="Times New Roman"/>
          <w:b/>
          <w:color w:val="auto"/>
          <w:sz w:val="24"/>
        </w:rPr>
        <w:t xml:space="preserve"> Como inferir se uma dada redução de custo – eficiência</w:t>
      </w:r>
      <w:r w:rsidR="004768EC" w:rsidRPr="000F1152">
        <w:rPr>
          <w:rFonts w:ascii="Times New Roman" w:hAnsi="Times New Roman"/>
          <w:b/>
          <w:color w:val="auto"/>
          <w:sz w:val="24"/>
        </w:rPr>
        <w:t xml:space="preserve"> específica da fusão</w:t>
      </w:r>
      <w:r w:rsidR="00B47283" w:rsidRPr="000F1152">
        <w:rPr>
          <w:rFonts w:ascii="Times New Roman" w:hAnsi="Times New Roman"/>
          <w:b/>
          <w:color w:val="auto"/>
          <w:sz w:val="24"/>
        </w:rPr>
        <w:t xml:space="preserve"> - impede aumento de preço</w:t>
      </w:r>
      <w:r w:rsidR="00D030C3" w:rsidRPr="000F1152">
        <w:rPr>
          <w:rFonts w:ascii="Times New Roman" w:hAnsi="Times New Roman"/>
          <w:b/>
          <w:color w:val="auto"/>
          <w:sz w:val="24"/>
        </w:rPr>
        <w:t>, viabilizando a aprovação de um ato de concentração para o qual não se identificou um “remédio” suficiente em termos de importação, entrada e/ou rivalidade</w:t>
      </w:r>
      <w:r w:rsidR="00B47283" w:rsidRPr="000F1152">
        <w:rPr>
          <w:rFonts w:ascii="Times New Roman" w:hAnsi="Times New Roman"/>
          <w:b/>
          <w:color w:val="auto"/>
          <w:sz w:val="24"/>
        </w:rPr>
        <w:t>?</w:t>
      </w:r>
      <w:r w:rsidR="00B47283" w:rsidRPr="004768EC">
        <w:rPr>
          <w:rFonts w:ascii="Times New Roman" w:hAnsi="Times New Roman"/>
          <w:color w:val="auto"/>
          <w:sz w:val="24"/>
        </w:rPr>
        <w:t xml:space="preserve"> Na maior parte dos casos, não acreditamos que a</w:t>
      </w:r>
      <w:r w:rsidR="006D6D07">
        <w:rPr>
          <w:rFonts w:ascii="Times New Roman" w:hAnsi="Times New Roman"/>
          <w:color w:val="auto"/>
          <w:sz w:val="24"/>
        </w:rPr>
        <w:t>s</w:t>
      </w:r>
      <w:r w:rsidR="00B47283" w:rsidRPr="004768EC">
        <w:rPr>
          <w:rFonts w:ascii="Times New Roman" w:hAnsi="Times New Roman"/>
          <w:color w:val="auto"/>
          <w:sz w:val="24"/>
        </w:rPr>
        <w:t xml:space="preserve"> resposta</w:t>
      </w:r>
      <w:r w:rsidR="006D6D07">
        <w:rPr>
          <w:rFonts w:ascii="Times New Roman" w:hAnsi="Times New Roman"/>
          <w:color w:val="auto"/>
          <w:sz w:val="24"/>
        </w:rPr>
        <w:t>s</w:t>
      </w:r>
      <w:r w:rsidR="00B47283" w:rsidRPr="004768EC">
        <w:rPr>
          <w:rFonts w:ascii="Times New Roman" w:hAnsi="Times New Roman"/>
          <w:color w:val="auto"/>
          <w:sz w:val="24"/>
        </w:rPr>
        <w:t xml:space="preserve"> a essa</w:t>
      </w:r>
      <w:r w:rsidR="006D6D07">
        <w:rPr>
          <w:rFonts w:ascii="Times New Roman" w:hAnsi="Times New Roman"/>
          <w:color w:val="auto"/>
          <w:sz w:val="24"/>
        </w:rPr>
        <w:t>s</w:t>
      </w:r>
      <w:r w:rsidR="00B47283" w:rsidRPr="004768EC">
        <w:rPr>
          <w:rFonts w:ascii="Times New Roman" w:hAnsi="Times New Roman"/>
          <w:color w:val="auto"/>
          <w:sz w:val="24"/>
        </w:rPr>
        <w:t xml:space="preserve"> pergunta</w:t>
      </w:r>
      <w:r w:rsidR="006D6D07">
        <w:rPr>
          <w:rFonts w:ascii="Times New Roman" w:hAnsi="Times New Roman"/>
          <w:color w:val="auto"/>
          <w:sz w:val="24"/>
        </w:rPr>
        <w:t>s</w:t>
      </w:r>
      <w:r w:rsidR="00B47283" w:rsidRPr="004768EC">
        <w:rPr>
          <w:rFonts w:ascii="Times New Roman" w:hAnsi="Times New Roman"/>
          <w:color w:val="auto"/>
          <w:sz w:val="24"/>
        </w:rPr>
        <w:t xml:space="preserve"> possa</w:t>
      </w:r>
      <w:r w:rsidR="006D6D07">
        <w:rPr>
          <w:rFonts w:ascii="Times New Roman" w:hAnsi="Times New Roman"/>
          <w:color w:val="auto"/>
          <w:sz w:val="24"/>
        </w:rPr>
        <w:t>m</w:t>
      </w:r>
      <w:r w:rsidR="00B47283" w:rsidRPr="004768EC">
        <w:rPr>
          <w:rFonts w:ascii="Times New Roman" w:hAnsi="Times New Roman"/>
          <w:color w:val="auto"/>
          <w:sz w:val="24"/>
        </w:rPr>
        <w:t xml:space="preserve"> </w:t>
      </w:r>
      <w:r w:rsidR="006D6D07">
        <w:rPr>
          <w:rFonts w:ascii="Times New Roman" w:hAnsi="Times New Roman"/>
          <w:color w:val="auto"/>
          <w:sz w:val="24"/>
        </w:rPr>
        <w:t>ser dadas</w:t>
      </w:r>
      <w:r w:rsidR="00B47283" w:rsidRPr="004768EC">
        <w:rPr>
          <w:rFonts w:ascii="Times New Roman" w:hAnsi="Times New Roman"/>
          <w:color w:val="auto"/>
          <w:sz w:val="24"/>
        </w:rPr>
        <w:t xml:space="preserve"> sem o emprego de método</w:t>
      </w:r>
      <w:r w:rsidR="006D6D07">
        <w:rPr>
          <w:rFonts w:ascii="Times New Roman" w:hAnsi="Times New Roman"/>
          <w:color w:val="auto"/>
          <w:sz w:val="24"/>
        </w:rPr>
        <w:t>s quantitativos, em particular sem o exercício de</w:t>
      </w:r>
      <w:r w:rsidR="00B47283" w:rsidRPr="004768EC">
        <w:rPr>
          <w:rFonts w:ascii="Times New Roman" w:hAnsi="Times New Roman"/>
          <w:color w:val="auto"/>
          <w:sz w:val="24"/>
        </w:rPr>
        <w:t xml:space="preserve"> simulação de fusões.</w:t>
      </w:r>
    </w:p>
    <w:p w:rsidR="00B47283" w:rsidRPr="004768EC" w:rsidRDefault="00B47283" w:rsidP="00E2034F">
      <w:pPr>
        <w:pStyle w:val="Corpodetexto2"/>
        <w:spacing w:before="0" w:after="0" w:line="320" w:lineRule="atLeast"/>
        <w:rPr>
          <w:rFonts w:ascii="Times New Roman" w:hAnsi="Times New Roman"/>
          <w:color w:val="auto"/>
          <w:sz w:val="24"/>
        </w:rPr>
      </w:pPr>
      <w:r w:rsidRPr="004768EC">
        <w:rPr>
          <w:rFonts w:ascii="Times New Roman" w:hAnsi="Times New Roman"/>
          <w:color w:val="auto"/>
          <w:sz w:val="24"/>
        </w:rPr>
        <w:t xml:space="preserve"> </w:t>
      </w:r>
    </w:p>
    <w:p w:rsidR="00E2034F" w:rsidRDefault="00E2034F" w:rsidP="00E2034F">
      <w:pPr>
        <w:pStyle w:val="Ttulo1"/>
        <w:spacing w:before="0" w:after="0" w:line="320" w:lineRule="atLeast"/>
      </w:pPr>
      <w:bookmarkStart w:id="0" w:name="_Toc49609195"/>
      <w:bookmarkStart w:id="1" w:name="_Toc49610650"/>
      <w:r>
        <w:t>II - Uso de Simulações na Defesa da Concorrência</w:t>
      </w:r>
      <w:bookmarkEnd w:id="0"/>
      <w:bookmarkEnd w:id="1"/>
    </w:p>
    <w:p w:rsidR="00E2034F" w:rsidRDefault="00E2034F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E2034F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 Teoria Econômica </w:t>
      </w:r>
      <w:r w:rsidR="008040E1">
        <w:rPr>
          <w:rFonts w:ascii="Times New Roman" w:hAnsi="Times New Roman"/>
          <w:sz w:val="24"/>
          <w:lang w:val="pt-BR"/>
        </w:rPr>
        <w:t xml:space="preserve">fornece um conjunto de modelos de mercados operando em oligopólio, a partir de seus equilíbrios não cooperativos, </w:t>
      </w:r>
      <w:r w:rsidR="004768EC">
        <w:rPr>
          <w:rFonts w:ascii="Times New Roman" w:hAnsi="Times New Roman"/>
          <w:sz w:val="24"/>
          <w:lang w:val="pt-BR"/>
        </w:rPr>
        <w:t xml:space="preserve">que </w:t>
      </w:r>
      <w:r w:rsidR="008040E1">
        <w:rPr>
          <w:rFonts w:ascii="Times New Roman" w:hAnsi="Times New Roman"/>
          <w:sz w:val="24"/>
          <w:lang w:val="pt-BR"/>
        </w:rPr>
        <w:t>permite que se avalie os efeitos da</w:t>
      </w:r>
      <w:r>
        <w:rPr>
          <w:rFonts w:ascii="Times New Roman" w:hAnsi="Times New Roman"/>
          <w:sz w:val="24"/>
          <w:lang w:val="pt-BR"/>
        </w:rPr>
        <w:t xml:space="preserve"> fusão</w:t>
      </w:r>
      <w:r w:rsidR="008040E1">
        <w:rPr>
          <w:rFonts w:ascii="Times New Roman" w:hAnsi="Times New Roman"/>
          <w:sz w:val="24"/>
          <w:lang w:val="pt-BR"/>
        </w:rPr>
        <w:t xml:space="preserve"> de duas ou mais empresas</w:t>
      </w:r>
      <w:r>
        <w:rPr>
          <w:rFonts w:ascii="Times New Roman" w:hAnsi="Times New Roman"/>
          <w:sz w:val="24"/>
          <w:lang w:val="pt-BR"/>
        </w:rPr>
        <w:t xml:space="preserve"> </w:t>
      </w:r>
      <w:r w:rsidR="008040E1">
        <w:rPr>
          <w:rFonts w:ascii="Times New Roman" w:hAnsi="Times New Roman"/>
          <w:sz w:val="24"/>
          <w:lang w:val="pt-BR"/>
        </w:rPr>
        <w:t xml:space="preserve">tanto </w:t>
      </w:r>
      <w:r>
        <w:rPr>
          <w:rFonts w:ascii="Times New Roman" w:hAnsi="Times New Roman"/>
          <w:sz w:val="24"/>
          <w:lang w:val="pt-BR"/>
        </w:rPr>
        <w:t xml:space="preserve">sobre os preços e quantidades praticados pela firma resultante </w:t>
      </w:r>
      <w:r w:rsidR="008040E1">
        <w:rPr>
          <w:rFonts w:ascii="Times New Roman" w:hAnsi="Times New Roman"/>
          <w:sz w:val="24"/>
          <w:lang w:val="pt-BR"/>
        </w:rPr>
        <w:t xml:space="preserve">como por </w:t>
      </w:r>
      <w:r w:rsidR="004768EC">
        <w:rPr>
          <w:rFonts w:ascii="Times New Roman" w:hAnsi="Times New Roman"/>
          <w:sz w:val="24"/>
          <w:lang w:val="pt-BR"/>
        </w:rPr>
        <w:t xml:space="preserve">parte de </w:t>
      </w:r>
      <w:r w:rsidR="008040E1">
        <w:rPr>
          <w:rFonts w:ascii="Times New Roman" w:hAnsi="Times New Roman"/>
          <w:sz w:val="24"/>
          <w:lang w:val="pt-BR"/>
        </w:rPr>
        <w:t>s</w:t>
      </w:r>
      <w:r>
        <w:rPr>
          <w:rFonts w:ascii="Times New Roman" w:hAnsi="Times New Roman"/>
          <w:sz w:val="24"/>
          <w:lang w:val="pt-BR"/>
        </w:rPr>
        <w:t>u</w:t>
      </w:r>
      <w:r w:rsidR="008040E1">
        <w:rPr>
          <w:rFonts w:ascii="Times New Roman" w:hAnsi="Times New Roman"/>
          <w:sz w:val="24"/>
          <w:lang w:val="pt-BR"/>
        </w:rPr>
        <w:t>a</w:t>
      </w:r>
      <w:r>
        <w:rPr>
          <w:rFonts w:ascii="Times New Roman" w:hAnsi="Times New Roman"/>
          <w:sz w:val="24"/>
          <w:lang w:val="pt-BR"/>
        </w:rPr>
        <w:t>s rivais.</w:t>
      </w:r>
    </w:p>
    <w:p w:rsidR="004768EC" w:rsidRDefault="004768EC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8040E1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lastRenderedPageBreak/>
        <w:t>O usual nas análises antitruste é simular uma fusão usando estática comparativa</w:t>
      </w:r>
      <w:r w:rsidR="000F1152">
        <w:rPr>
          <w:rFonts w:ascii="Times New Roman" w:hAnsi="Times New Roman"/>
          <w:sz w:val="24"/>
          <w:lang w:val="pt-BR"/>
        </w:rPr>
        <w:t>. Nesse caso, se</w:t>
      </w:r>
      <w:r>
        <w:rPr>
          <w:rFonts w:ascii="Times New Roman" w:hAnsi="Times New Roman"/>
          <w:sz w:val="24"/>
          <w:lang w:val="pt-BR"/>
        </w:rPr>
        <w:t xml:space="preserve"> compara uma situação de equilíbrio de mercado antes da fusão com outra após a operação</w:t>
      </w:r>
      <w:r w:rsidR="000F1152">
        <w:rPr>
          <w:rStyle w:val="Refdenotaderodap"/>
          <w:rFonts w:ascii="Times New Roman" w:hAnsi="Times New Roman"/>
          <w:sz w:val="24"/>
          <w:lang w:val="pt-BR"/>
        </w:rPr>
        <w:footnoteReference w:id="1"/>
      </w:r>
      <w:r>
        <w:rPr>
          <w:rFonts w:ascii="Times New Roman" w:hAnsi="Times New Roman"/>
          <w:sz w:val="24"/>
          <w:lang w:val="pt-BR"/>
        </w:rPr>
        <w:t xml:space="preserve">. </w:t>
      </w:r>
    </w:p>
    <w:p w:rsidR="000F1152" w:rsidRDefault="000F1152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88374B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Qualquer modelo teórico, seja um m</w:t>
      </w:r>
      <w:r w:rsidR="00E2034F">
        <w:rPr>
          <w:rFonts w:ascii="Times New Roman" w:hAnsi="Times New Roman"/>
          <w:sz w:val="24"/>
          <w:lang w:val="pt-BR"/>
        </w:rPr>
        <w:t>odelo de oligopólio</w:t>
      </w:r>
      <w:r>
        <w:rPr>
          <w:rFonts w:ascii="Times New Roman" w:hAnsi="Times New Roman"/>
          <w:sz w:val="24"/>
          <w:lang w:val="pt-BR"/>
        </w:rPr>
        <w:t xml:space="preserve"> seja qualquer outro modelo comportamental, deve simplificar a realidade de maneira a capturar </w:t>
      </w:r>
      <w:r w:rsidR="004768EC">
        <w:rPr>
          <w:rFonts w:ascii="Times New Roman" w:hAnsi="Times New Roman"/>
          <w:sz w:val="24"/>
          <w:lang w:val="pt-BR"/>
        </w:rPr>
        <w:t>os elementos</w:t>
      </w:r>
      <w:r>
        <w:rPr>
          <w:rFonts w:ascii="Times New Roman" w:hAnsi="Times New Roman"/>
          <w:sz w:val="24"/>
          <w:lang w:val="pt-BR"/>
        </w:rPr>
        <w:t xml:space="preserve"> essencia</w:t>
      </w:r>
      <w:r w:rsidR="004768EC">
        <w:rPr>
          <w:rFonts w:ascii="Times New Roman" w:hAnsi="Times New Roman"/>
          <w:sz w:val="24"/>
          <w:lang w:val="pt-BR"/>
        </w:rPr>
        <w:t>is</w:t>
      </w:r>
      <w:r>
        <w:rPr>
          <w:rFonts w:ascii="Times New Roman" w:hAnsi="Times New Roman"/>
          <w:sz w:val="24"/>
          <w:lang w:val="pt-BR"/>
        </w:rPr>
        <w:t xml:space="preserve"> aos propósitos da análise em questão. </w:t>
      </w:r>
      <w:r w:rsidR="008407A8">
        <w:rPr>
          <w:rFonts w:ascii="Times New Roman" w:hAnsi="Times New Roman"/>
          <w:sz w:val="24"/>
          <w:lang w:val="pt-BR"/>
        </w:rPr>
        <w:t>Adicionalmente, o</w:t>
      </w:r>
      <w:r>
        <w:rPr>
          <w:rFonts w:ascii="Times New Roman" w:hAnsi="Times New Roman"/>
          <w:sz w:val="24"/>
          <w:lang w:val="pt-BR"/>
        </w:rPr>
        <w:t xml:space="preserve"> modelo deve ser simples o suficiente para ser calibrado utilizando-se os dados (informações) disponíveis, ou numericamente resolvido de forma a gerar previsões úteis</w:t>
      </w:r>
      <w:r w:rsidR="000F1152">
        <w:rPr>
          <w:rFonts w:ascii="Times New Roman" w:hAnsi="Times New Roman"/>
          <w:sz w:val="24"/>
          <w:lang w:val="pt-BR"/>
        </w:rPr>
        <w:t xml:space="preserve">, </w:t>
      </w:r>
      <w:r w:rsidR="00CE29A0">
        <w:rPr>
          <w:rFonts w:ascii="Times New Roman" w:hAnsi="Times New Roman"/>
          <w:sz w:val="24"/>
          <w:lang w:val="pt-BR"/>
        </w:rPr>
        <w:t>com os resultados analíticos relevantes para os objetivos a que se propõe</w:t>
      </w:r>
      <w:r>
        <w:rPr>
          <w:rFonts w:ascii="Times New Roman" w:hAnsi="Times New Roman"/>
          <w:sz w:val="24"/>
          <w:lang w:val="pt-BR"/>
        </w:rPr>
        <w:t xml:space="preserve">. </w:t>
      </w:r>
    </w:p>
    <w:p w:rsidR="00E2034F" w:rsidRDefault="00E2034F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4768EC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Os m</w:t>
      </w:r>
      <w:r w:rsidR="00E2034F">
        <w:rPr>
          <w:rFonts w:ascii="Times New Roman" w:hAnsi="Times New Roman"/>
          <w:sz w:val="24"/>
          <w:lang w:val="pt-BR"/>
        </w:rPr>
        <w:t xml:space="preserve">odelos de oligopólio </w:t>
      </w:r>
      <w:r>
        <w:rPr>
          <w:rFonts w:ascii="Times New Roman" w:hAnsi="Times New Roman"/>
          <w:sz w:val="24"/>
          <w:lang w:val="pt-BR"/>
        </w:rPr>
        <w:t xml:space="preserve">não-cooperativos </w:t>
      </w:r>
      <w:r w:rsidR="00E2034F">
        <w:rPr>
          <w:rFonts w:ascii="Times New Roman" w:hAnsi="Times New Roman"/>
          <w:sz w:val="24"/>
          <w:lang w:val="pt-BR"/>
        </w:rPr>
        <w:t>são modelos de “equilíbrio”</w:t>
      </w:r>
      <w:r w:rsidR="00C9382E">
        <w:rPr>
          <w:rFonts w:ascii="Times New Roman" w:hAnsi="Times New Roman"/>
          <w:sz w:val="24"/>
          <w:lang w:val="pt-BR"/>
        </w:rPr>
        <w:t xml:space="preserve"> de Nash</w:t>
      </w:r>
      <w:r w:rsidR="00E2034F">
        <w:rPr>
          <w:rFonts w:ascii="Times New Roman" w:hAnsi="Times New Roman"/>
          <w:sz w:val="24"/>
          <w:lang w:val="pt-BR"/>
        </w:rPr>
        <w:t xml:space="preserve">, isto é, </w:t>
      </w:r>
      <w:r>
        <w:rPr>
          <w:rFonts w:ascii="Times New Roman" w:hAnsi="Times New Roman"/>
          <w:sz w:val="24"/>
          <w:lang w:val="pt-BR"/>
        </w:rPr>
        <w:t>que</w:t>
      </w:r>
      <w:r w:rsidR="00E2034F">
        <w:rPr>
          <w:rFonts w:ascii="Times New Roman" w:hAnsi="Times New Roman"/>
          <w:sz w:val="24"/>
          <w:lang w:val="pt-BR"/>
        </w:rPr>
        <w:t xml:space="preserve"> determinam um conjunto de estratégias competitivas (</w:t>
      </w:r>
      <w:r>
        <w:rPr>
          <w:rFonts w:ascii="Times New Roman" w:hAnsi="Times New Roman"/>
          <w:sz w:val="24"/>
          <w:lang w:val="pt-BR"/>
        </w:rPr>
        <w:t xml:space="preserve">definição de </w:t>
      </w:r>
      <w:r w:rsidR="00E2034F">
        <w:rPr>
          <w:rFonts w:ascii="Times New Roman" w:hAnsi="Times New Roman"/>
          <w:sz w:val="24"/>
          <w:lang w:val="pt-BR"/>
        </w:rPr>
        <w:t>preços ou quantidades) tais que nenhum co</w:t>
      </w:r>
      <w:r w:rsidR="008E54DB">
        <w:rPr>
          <w:rFonts w:ascii="Times New Roman" w:hAnsi="Times New Roman"/>
          <w:sz w:val="24"/>
          <w:lang w:val="pt-BR"/>
        </w:rPr>
        <w:t>m</w:t>
      </w:r>
      <w:r w:rsidR="00E2034F">
        <w:rPr>
          <w:rFonts w:ascii="Times New Roman" w:hAnsi="Times New Roman"/>
          <w:sz w:val="24"/>
          <w:lang w:val="pt-BR"/>
        </w:rPr>
        <w:t>petidor tenha incentivos de alterar sua estratégia</w:t>
      </w:r>
      <w:r w:rsidR="00CE29A0">
        <w:rPr>
          <w:rFonts w:ascii="Times New Roman" w:hAnsi="Times New Roman"/>
          <w:sz w:val="24"/>
          <w:lang w:val="pt-BR"/>
        </w:rPr>
        <w:t xml:space="preserve"> em relação às </w:t>
      </w:r>
      <w:r w:rsidR="00E2034F">
        <w:rPr>
          <w:rFonts w:ascii="Times New Roman" w:hAnsi="Times New Roman"/>
          <w:sz w:val="24"/>
          <w:lang w:val="pt-BR"/>
        </w:rPr>
        <w:t>dos</w:t>
      </w:r>
      <w:r w:rsidR="00CE29A0">
        <w:rPr>
          <w:rFonts w:ascii="Times New Roman" w:hAnsi="Times New Roman"/>
          <w:sz w:val="24"/>
          <w:lang w:val="pt-BR"/>
        </w:rPr>
        <w:t xml:space="preserve"> seus</w:t>
      </w:r>
      <w:r w:rsidR="00E2034F">
        <w:rPr>
          <w:rFonts w:ascii="Times New Roman" w:hAnsi="Times New Roman"/>
          <w:sz w:val="24"/>
          <w:lang w:val="pt-BR"/>
        </w:rPr>
        <w:t xml:space="preserve"> oponentes.</w:t>
      </w:r>
      <w:r w:rsidR="00CE29A0">
        <w:rPr>
          <w:rFonts w:ascii="Times New Roman" w:hAnsi="Times New Roman"/>
          <w:sz w:val="24"/>
          <w:lang w:val="pt-BR"/>
        </w:rPr>
        <w:t xml:space="preserve"> </w:t>
      </w:r>
      <w:r w:rsidR="00E2034F">
        <w:rPr>
          <w:rFonts w:ascii="Times New Roman" w:hAnsi="Times New Roman"/>
          <w:sz w:val="24"/>
          <w:lang w:val="pt-BR"/>
        </w:rPr>
        <w:t xml:space="preserve"> Calibrar</w:t>
      </w:r>
      <w:r w:rsidR="00CE29A0">
        <w:rPr>
          <w:rFonts w:ascii="Times New Roman" w:hAnsi="Times New Roman"/>
          <w:sz w:val="24"/>
          <w:lang w:val="pt-BR"/>
        </w:rPr>
        <w:t xml:space="preserve"> </w:t>
      </w:r>
      <w:r w:rsidR="00E2034F">
        <w:rPr>
          <w:rFonts w:ascii="Times New Roman" w:hAnsi="Times New Roman"/>
          <w:sz w:val="24"/>
          <w:lang w:val="pt-BR"/>
        </w:rPr>
        <w:t xml:space="preserve">um modelo </w:t>
      </w:r>
      <w:r w:rsidR="00CE29A0">
        <w:rPr>
          <w:rFonts w:ascii="Times New Roman" w:hAnsi="Times New Roman"/>
          <w:sz w:val="24"/>
          <w:lang w:val="pt-BR"/>
        </w:rPr>
        <w:t xml:space="preserve">significa imputar um conjunto de valores aos </w:t>
      </w:r>
      <w:r w:rsidR="00E2034F">
        <w:rPr>
          <w:rFonts w:ascii="Times New Roman" w:hAnsi="Times New Roman"/>
          <w:sz w:val="24"/>
          <w:lang w:val="pt-BR"/>
        </w:rPr>
        <w:t xml:space="preserve">seus parâmetros </w:t>
      </w:r>
      <w:r w:rsidR="00C9382E">
        <w:rPr>
          <w:rFonts w:ascii="Times New Roman" w:hAnsi="Times New Roman"/>
          <w:sz w:val="24"/>
          <w:lang w:val="pt-BR"/>
        </w:rPr>
        <w:t>de modo a</w:t>
      </w:r>
      <w:r w:rsidR="00CE29A0">
        <w:rPr>
          <w:rFonts w:ascii="Times New Roman" w:hAnsi="Times New Roman"/>
          <w:sz w:val="24"/>
          <w:lang w:val="pt-BR"/>
        </w:rPr>
        <w:t xml:space="preserve"> reproduzir uma situação específica de mercado </w:t>
      </w:r>
      <w:r w:rsidR="00E2034F">
        <w:rPr>
          <w:rFonts w:ascii="Times New Roman" w:hAnsi="Times New Roman"/>
          <w:sz w:val="24"/>
          <w:lang w:val="pt-BR"/>
        </w:rPr>
        <w:t xml:space="preserve">pré-fusão. </w:t>
      </w:r>
      <w:r w:rsidR="00CE29A0">
        <w:rPr>
          <w:rFonts w:ascii="Times New Roman" w:hAnsi="Times New Roman"/>
          <w:sz w:val="24"/>
          <w:lang w:val="pt-BR"/>
        </w:rPr>
        <w:t>Assim, este modelo calibrado deve ser capaz, por</w:t>
      </w:r>
      <w:r w:rsidR="00E2034F">
        <w:rPr>
          <w:rFonts w:ascii="Times New Roman" w:hAnsi="Times New Roman"/>
          <w:sz w:val="24"/>
          <w:lang w:val="pt-BR"/>
        </w:rPr>
        <w:t xml:space="preserve"> exemplo,</w:t>
      </w:r>
      <w:r w:rsidR="00CE29A0">
        <w:rPr>
          <w:rFonts w:ascii="Times New Roman" w:hAnsi="Times New Roman"/>
          <w:sz w:val="24"/>
          <w:lang w:val="pt-BR"/>
        </w:rPr>
        <w:t xml:space="preserve"> a partir de informações de </w:t>
      </w:r>
      <w:r w:rsidR="00E2034F">
        <w:rPr>
          <w:rFonts w:ascii="Times New Roman" w:hAnsi="Times New Roman"/>
          <w:sz w:val="24"/>
          <w:lang w:val="pt-BR"/>
        </w:rPr>
        <w:t>preços</w:t>
      </w:r>
      <w:r w:rsidR="00CE29A0">
        <w:rPr>
          <w:rFonts w:ascii="Times New Roman" w:hAnsi="Times New Roman"/>
          <w:sz w:val="24"/>
          <w:lang w:val="pt-BR"/>
        </w:rPr>
        <w:t xml:space="preserve"> pré-fusão</w:t>
      </w:r>
      <w:r w:rsidR="008E54DB">
        <w:rPr>
          <w:rFonts w:ascii="Times New Roman" w:hAnsi="Times New Roman"/>
          <w:sz w:val="24"/>
          <w:lang w:val="pt-BR"/>
        </w:rPr>
        <w:t xml:space="preserve"> ou de elasticidades-preço</w:t>
      </w:r>
      <w:r w:rsidR="00C9382E">
        <w:rPr>
          <w:rFonts w:ascii="Times New Roman" w:hAnsi="Times New Roman"/>
          <w:sz w:val="24"/>
          <w:lang w:val="pt-BR"/>
        </w:rPr>
        <w:t>, de</w:t>
      </w:r>
      <w:r w:rsidR="00CE29A0">
        <w:rPr>
          <w:rFonts w:ascii="Times New Roman" w:hAnsi="Times New Roman"/>
          <w:sz w:val="24"/>
          <w:lang w:val="pt-BR"/>
        </w:rPr>
        <w:t xml:space="preserve"> </w:t>
      </w:r>
      <w:r w:rsidR="00E2034F">
        <w:rPr>
          <w:rFonts w:ascii="Times New Roman" w:hAnsi="Times New Roman"/>
          <w:sz w:val="24"/>
          <w:lang w:val="pt-BR"/>
        </w:rPr>
        <w:t xml:space="preserve">reproduzir os </w:t>
      </w:r>
      <w:r w:rsidR="00E2034F">
        <w:rPr>
          <w:rFonts w:ascii="Times New Roman" w:hAnsi="Times New Roman"/>
          <w:i/>
          <w:iCs/>
          <w:sz w:val="24"/>
          <w:lang w:val="pt-BR"/>
        </w:rPr>
        <w:t>market shares</w:t>
      </w:r>
      <w:r w:rsidR="00E2034F">
        <w:rPr>
          <w:rFonts w:ascii="Times New Roman" w:hAnsi="Times New Roman"/>
          <w:sz w:val="24"/>
          <w:lang w:val="pt-BR"/>
        </w:rPr>
        <w:t xml:space="preserve"> dos </w:t>
      </w:r>
      <w:r w:rsidR="008E54DB">
        <w:rPr>
          <w:rFonts w:ascii="Times New Roman" w:hAnsi="Times New Roman"/>
          <w:sz w:val="24"/>
          <w:lang w:val="pt-BR"/>
        </w:rPr>
        <w:t>bens existentes no mercado pré-fusão</w:t>
      </w:r>
      <w:r w:rsidR="00C9382E">
        <w:rPr>
          <w:rFonts w:ascii="Times New Roman" w:hAnsi="Times New Roman"/>
          <w:sz w:val="24"/>
          <w:lang w:val="pt-BR"/>
        </w:rPr>
        <w:t>, caracterizando assim um “exercício de simulação de fusão”</w:t>
      </w:r>
      <w:r w:rsidR="008E54DB">
        <w:rPr>
          <w:rFonts w:ascii="Times New Roman" w:hAnsi="Times New Roman"/>
          <w:sz w:val="24"/>
          <w:lang w:val="pt-BR"/>
        </w:rPr>
        <w:t xml:space="preserve">. </w:t>
      </w:r>
    </w:p>
    <w:p w:rsidR="00E2034F" w:rsidRDefault="00E2034F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C9382E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O exercício de simulação de fusão tem crescido rapidamente no resto do mundo e no Brasil, para análise de casos que envolvem </w:t>
      </w:r>
      <w:r w:rsidR="000F1152">
        <w:rPr>
          <w:rFonts w:ascii="Times New Roman" w:hAnsi="Times New Roman"/>
          <w:sz w:val="24"/>
          <w:lang w:val="pt-BR"/>
        </w:rPr>
        <w:t xml:space="preserve">tantos </w:t>
      </w:r>
      <w:r>
        <w:rPr>
          <w:rFonts w:ascii="Times New Roman" w:hAnsi="Times New Roman"/>
          <w:sz w:val="24"/>
          <w:lang w:val="pt-BR"/>
        </w:rPr>
        <w:t>bens diferenciados</w:t>
      </w:r>
      <w:r w:rsidR="000F1152">
        <w:rPr>
          <w:rFonts w:ascii="Times New Roman" w:hAnsi="Times New Roman"/>
          <w:sz w:val="24"/>
          <w:lang w:val="pt-BR"/>
        </w:rPr>
        <w:t xml:space="preserve"> (vide caso Nestlé-Garoto) como homogêneos (vide casos Vale do Rio Doce)</w:t>
      </w:r>
      <w:r>
        <w:rPr>
          <w:rFonts w:ascii="Times New Roman" w:hAnsi="Times New Roman"/>
          <w:sz w:val="24"/>
          <w:lang w:val="pt-BR"/>
        </w:rPr>
        <w:t>.</w:t>
      </w:r>
      <w:r w:rsidR="00E2034F"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BR"/>
        </w:rPr>
        <w:t>N</w:t>
      </w:r>
      <w:r w:rsidR="000F1152">
        <w:rPr>
          <w:rFonts w:ascii="Times New Roman" w:hAnsi="Times New Roman"/>
          <w:sz w:val="24"/>
          <w:lang w:val="pt-BR"/>
        </w:rPr>
        <w:t>o</w:t>
      </w:r>
      <w:r>
        <w:rPr>
          <w:rFonts w:ascii="Times New Roman" w:hAnsi="Times New Roman"/>
          <w:sz w:val="24"/>
          <w:lang w:val="pt-BR"/>
        </w:rPr>
        <w:t xml:space="preserve"> caso</w:t>
      </w:r>
      <w:r w:rsidR="000F1152">
        <w:rPr>
          <w:rFonts w:ascii="Times New Roman" w:hAnsi="Times New Roman"/>
          <w:sz w:val="24"/>
          <w:lang w:val="pt-BR"/>
        </w:rPr>
        <w:t xml:space="preserve"> primeiro caso, por exemplo,</w:t>
      </w:r>
      <w:r>
        <w:rPr>
          <w:rFonts w:ascii="Times New Roman" w:hAnsi="Times New Roman"/>
          <w:sz w:val="24"/>
          <w:lang w:val="pt-BR"/>
        </w:rPr>
        <w:t xml:space="preserve"> o mais comum é adotar </w:t>
      </w:r>
      <w:r w:rsidR="00E2034F">
        <w:rPr>
          <w:rFonts w:ascii="Times New Roman" w:hAnsi="Times New Roman"/>
          <w:sz w:val="24"/>
          <w:lang w:val="pt-BR"/>
        </w:rPr>
        <w:t xml:space="preserve">o modelo de </w:t>
      </w:r>
      <w:r>
        <w:rPr>
          <w:rFonts w:ascii="Times New Roman" w:hAnsi="Times New Roman"/>
          <w:sz w:val="24"/>
          <w:lang w:val="pt-BR"/>
        </w:rPr>
        <w:t xml:space="preserve">oligopólio de </w:t>
      </w:r>
      <w:r w:rsidR="00E2034F">
        <w:rPr>
          <w:rFonts w:ascii="Times New Roman" w:hAnsi="Times New Roman"/>
          <w:sz w:val="24"/>
          <w:lang w:val="pt-BR"/>
        </w:rPr>
        <w:t xml:space="preserve">Bertrand, que assume o preço </w:t>
      </w:r>
      <w:r>
        <w:rPr>
          <w:rFonts w:ascii="Times New Roman" w:hAnsi="Times New Roman"/>
          <w:sz w:val="24"/>
          <w:lang w:val="pt-BR"/>
        </w:rPr>
        <w:t>como sendo a</w:t>
      </w:r>
      <w:r w:rsidR="00E2034F">
        <w:rPr>
          <w:rFonts w:ascii="Times New Roman" w:hAnsi="Times New Roman"/>
          <w:sz w:val="24"/>
          <w:lang w:val="pt-BR"/>
        </w:rPr>
        <w:t xml:space="preserve"> variável estratégica de curto prazo</w:t>
      </w:r>
      <w:r>
        <w:rPr>
          <w:rFonts w:ascii="Times New Roman" w:hAnsi="Times New Roman"/>
          <w:sz w:val="24"/>
          <w:lang w:val="pt-BR"/>
        </w:rPr>
        <w:t xml:space="preserve">, de modo que o equilíbrio (de Nash) deixa </w:t>
      </w:r>
      <w:r w:rsidR="00E2034F">
        <w:rPr>
          <w:rFonts w:ascii="Times New Roman" w:hAnsi="Times New Roman"/>
          <w:sz w:val="24"/>
          <w:lang w:val="pt-BR"/>
        </w:rPr>
        <w:t>cada competidor satisfeito com o seu preço dado o preço de seus rivais.</w:t>
      </w:r>
    </w:p>
    <w:p w:rsidR="00E2034F" w:rsidRDefault="00E2034F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Pr="000F1152" w:rsidRDefault="00C9382E" w:rsidP="00E2034F">
      <w:pPr>
        <w:spacing w:before="0" w:after="0" w:line="320" w:lineRule="atLeast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 grande vantagem do uso do </w:t>
      </w:r>
      <w:r w:rsidR="00E2034F">
        <w:rPr>
          <w:rFonts w:ascii="Times New Roman" w:hAnsi="Times New Roman"/>
          <w:sz w:val="24"/>
          <w:lang w:val="pt-BR"/>
        </w:rPr>
        <w:t>modelo de Bertrand com produtos diferenciados</w:t>
      </w:r>
      <w:r>
        <w:rPr>
          <w:rFonts w:ascii="Times New Roman" w:hAnsi="Times New Roman"/>
          <w:sz w:val="24"/>
          <w:lang w:val="pt-BR"/>
        </w:rPr>
        <w:t xml:space="preserve"> para a análise de fusão</w:t>
      </w:r>
      <w:r w:rsidR="00E2034F">
        <w:rPr>
          <w:rFonts w:ascii="Times New Roman" w:hAnsi="Times New Roman"/>
          <w:sz w:val="24"/>
          <w:lang w:val="pt-BR"/>
        </w:rPr>
        <w:t xml:space="preserve"> é </w:t>
      </w:r>
      <w:r w:rsidR="000F1152">
        <w:rPr>
          <w:rFonts w:ascii="Times New Roman" w:hAnsi="Times New Roman"/>
          <w:sz w:val="24"/>
          <w:lang w:val="pt-BR"/>
        </w:rPr>
        <w:t>que ele</w:t>
      </w:r>
      <w:r>
        <w:rPr>
          <w:rFonts w:ascii="Times New Roman" w:hAnsi="Times New Roman"/>
          <w:sz w:val="24"/>
          <w:lang w:val="pt-BR"/>
        </w:rPr>
        <w:t xml:space="preserve"> </w:t>
      </w:r>
      <w:r w:rsidR="00E2034F">
        <w:rPr>
          <w:rFonts w:ascii="Times New Roman" w:hAnsi="Times New Roman"/>
          <w:sz w:val="24"/>
          <w:lang w:val="pt-BR"/>
        </w:rPr>
        <w:t xml:space="preserve">reflete com precisão o comportamento da empresa resultante e dos outros competidores. </w:t>
      </w:r>
      <w:r>
        <w:rPr>
          <w:rFonts w:ascii="Times New Roman" w:hAnsi="Times New Roman"/>
          <w:sz w:val="24"/>
          <w:lang w:val="pt-BR"/>
        </w:rPr>
        <w:t>A</w:t>
      </w:r>
      <w:r w:rsidR="00E2034F">
        <w:rPr>
          <w:rFonts w:ascii="Times New Roman" w:hAnsi="Times New Roman"/>
          <w:sz w:val="24"/>
          <w:lang w:val="pt-BR"/>
        </w:rPr>
        <w:t xml:space="preserve"> fusão internaliza a competição entre marcas que eram anteriormente separadas, e</w:t>
      </w:r>
      <w:r>
        <w:rPr>
          <w:rFonts w:ascii="Times New Roman" w:hAnsi="Times New Roman"/>
          <w:sz w:val="24"/>
          <w:lang w:val="pt-BR"/>
        </w:rPr>
        <w:t xml:space="preserve"> este efeito </w:t>
      </w:r>
      <w:r w:rsidR="00E2034F">
        <w:rPr>
          <w:rFonts w:ascii="Times New Roman" w:hAnsi="Times New Roman"/>
          <w:sz w:val="24"/>
          <w:lang w:val="pt-BR"/>
        </w:rPr>
        <w:t>é capturado pelo modelo. A empresa resultante pratica novos preços levando em conta a alteração da estrutura competitiva</w:t>
      </w:r>
      <w:r w:rsidR="000F1152">
        <w:rPr>
          <w:rFonts w:ascii="Times New Roman" w:hAnsi="Times New Roman"/>
          <w:sz w:val="24"/>
          <w:lang w:val="pt-BR"/>
        </w:rPr>
        <w:t xml:space="preserve">, </w:t>
      </w:r>
      <w:r w:rsidR="000F1152" w:rsidRPr="000F1152">
        <w:rPr>
          <w:rFonts w:ascii="Times New Roman" w:hAnsi="Times New Roman"/>
          <w:b/>
          <w:sz w:val="24"/>
          <w:lang w:val="pt-BR"/>
        </w:rPr>
        <w:t>mas também as reduções de custos proporcionadas pela operação</w:t>
      </w:r>
      <w:r w:rsidR="00E2034F" w:rsidRPr="000F1152">
        <w:rPr>
          <w:rFonts w:ascii="Times New Roman" w:hAnsi="Times New Roman"/>
          <w:b/>
          <w:sz w:val="24"/>
          <w:lang w:val="pt-BR"/>
        </w:rPr>
        <w:t>.</w:t>
      </w:r>
      <w:r w:rsidR="000F1152">
        <w:rPr>
          <w:rFonts w:ascii="Times New Roman" w:hAnsi="Times New Roman"/>
          <w:b/>
          <w:sz w:val="24"/>
          <w:lang w:val="pt-BR"/>
        </w:rPr>
        <w:t xml:space="preserve"> Assim, </w:t>
      </w:r>
      <w:r w:rsidR="000F1152" w:rsidRPr="000F1152">
        <w:rPr>
          <w:rFonts w:ascii="Times New Roman" w:hAnsi="Times New Roman"/>
          <w:b/>
          <w:sz w:val="24"/>
          <w:lang w:val="pt-BR"/>
        </w:rPr>
        <w:t>o</w:t>
      </w:r>
      <w:r w:rsidRPr="000F1152">
        <w:rPr>
          <w:rFonts w:ascii="Times New Roman" w:hAnsi="Times New Roman"/>
          <w:b/>
          <w:sz w:val="24"/>
          <w:lang w:val="pt-BR"/>
        </w:rPr>
        <w:t>s exercícios de simulações de fusão tornam as discussões sobre eficiências mais precisas e permitem sua mensuração.</w:t>
      </w:r>
    </w:p>
    <w:p w:rsidR="00E2034F" w:rsidRDefault="00E2034F" w:rsidP="00E2034F">
      <w:pPr>
        <w:pStyle w:val="Ttulo2"/>
        <w:spacing w:before="0" w:after="0" w:line="320" w:lineRule="atLeast"/>
      </w:pPr>
      <w:bookmarkStart w:id="2" w:name="_Toc49609197"/>
      <w:bookmarkStart w:id="3" w:name="_Toc49610652"/>
    </w:p>
    <w:p w:rsidR="00E2034F" w:rsidRDefault="00E2034F" w:rsidP="00E2034F">
      <w:pPr>
        <w:pStyle w:val="Ttulo2"/>
        <w:spacing w:before="0" w:after="0" w:line="320" w:lineRule="atLeast"/>
      </w:pPr>
      <w:r>
        <w:t xml:space="preserve">III - Os benefícios </w:t>
      </w:r>
      <w:r w:rsidR="00C9382E">
        <w:t>do exercício de simulações de fusão</w:t>
      </w:r>
      <w:bookmarkEnd w:id="2"/>
      <w:bookmarkEnd w:id="3"/>
    </w:p>
    <w:p w:rsidR="00E2034F" w:rsidRDefault="00E2034F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E2034F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Os resultados de análises baseadas em métodos de simulação têm ganhado </w:t>
      </w:r>
      <w:r w:rsidRPr="00CB5483">
        <w:rPr>
          <w:rFonts w:ascii="Times New Roman" w:hAnsi="Times New Roman"/>
          <w:i/>
          <w:sz w:val="24"/>
          <w:lang w:val="pt-BR"/>
        </w:rPr>
        <w:t>status</w:t>
      </w:r>
      <w:r>
        <w:rPr>
          <w:rFonts w:ascii="Times New Roman" w:hAnsi="Times New Roman"/>
          <w:sz w:val="24"/>
          <w:lang w:val="pt-BR"/>
        </w:rPr>
        <w:t xml:space="preserve"> cada vez mais importante no balizamento de decisões a respeito dos impactos econômicos de </w:t>
      </w:r>
      <w:r>
        <w:rPr>
          <w:rFonts w:ascii="Times New Roman" w:hAnsi="Times New Roman"/>
          <w:sz w:val="24"/>
          <w:lang w:val="pt-BR"/>
        </w:rPr>
        <w:lastRenderedPageBreak/>
        <w:t xml:space="preserve">fusões e aquisições de empresas. </w:t>
      </w:r>
      <w:r w:rsidR="00C9382E">
        <w:rPr>
          <w:rFonts w:ascii="Times New Roman" w:hAnsi="Times New Roman"/>
          <w:sz w:val="24"/>
          <w:lang w:val="pt-BR"/>
        </w:rPr>
        <w:t xml:space="preserve">Essa possibilidade decorre tanto </w:t>
      </w:r>
      <w:r>
        <w:rPr>
          <w:rFonts w:ascii="Times New Roman" w:hAnsi="Times New Roman"/>
          <w:sz w:val="24"/>
          <w:lang w:val="pt-BR"/>
        </w:rPr>
        <w:t xml:space="preserve">do desenvolvimento de </w:t>
      </w:r>
      <w:r w:rsidR="00C9382E">
        <w:rPr>
          <w:rFonts w:ascii="Times New Roman" w:hAnsi="Times New Roman"/>
          <w:sz w:val="24"/>
          <w:lang w:val="pt-BR"/>
        </w:rPr>
        <w:t xml:space="preserve">novas </w:t>
      </w:r>
      <w:r>
        <w:rPr>
          <w:rFonts w:ascii="Times New Roman" w:hAnsi="Times New Roman"/>
          <w:sz w:val="24"/>
          <w:lang w:val="pt-BR"/>
        </w:rPr>
        <w:t>técnicas</w:t>
      </w:r>
      <w:r w:rsidR="00C9382E">
        <w:rPr>
          <w:rFonts w:ascii="Times New Roman" w:hAnsi="Times New Roman"/>
          <w:sz w:val="24"/>
          <w:lang w:val="pt-BR"/>
        </w:rPr>
        <w:t xml:space="preserve">, decorrentes do desenvolvimento de </w:t>
      </w:r>
      <w:r w:rsidR="000F1152">
        <w:rPr>
          <w:rFonts w:ascii="Times New Roman" w:hAnsi="Times New Roman"/>
          <w:sz w:val="24"/>
          <w:lang w:val="pt-BR"/>
        </w:rPr>
        <w:t>métodos</w:t>
      </w:r>
      <w:r w:rsidR="00C9382E">
        <w:rPr>
          <w:rFonts w:ascii="Times New Roman" w:hAnsi="Times New Roman"/>
          <w:sz w:val="24"/>
          <w:lang w:val="pt-BR"/>
        </w:rPr>
        <w:t xml:space="preserve"> computacionais e d</w:t>
      </w:r>
      <w:r w:rsidR="000F1152">
        <w:rPr>
          <w:rFonts w:ascii="Times New Roman" w:hAnsi="Times New Roman"/>
          <w:sz w:val="24"/>
          <w:lang w:val="pt-BR"/>
        </w:rPr>
        <w:t>os</w:t>
      </w:r>
      <w:r w:rsidR="00C9382E">
        <w:rPr>
          <w:rFonts w:ascii="Times New Roman" w:hAnsi="Times New Roman"/>
          <w:sz w:val="24"/>
          <w:lang w:val="pt-BR"/>
        </w:rPr>
        <w:t xml:space="preserve"> avanços tecnológicos em computadores, como </w:t>
      </w:r>
      <w:r>
        <w:rPr>
          <w:rFonts w:ascii="Times New Roman" w:hAnsi="Times New Roman"/>
          <w:sz w:val="24"/>
          <w:lang w:val="pt-BR"/>
        </w:rPr>
        <w:t xml:space="preserve">da crescente percepção dos tribunais e agências reguladoras de que, </w:t>
      </w:r>
      <w:r w:rsidR="00C9382E">
        <w:rPr>
          <w:rFonts w:ascii="Times New Roman" w:hAnsi="Times New Roman"/>
          <w:sz w:val="24"/>
          <w:lang w:val="pt-BR"/>
        </w:rPr>
        <w:t xml:space="preserve">além de </w:t>
      </w:r>
      <w:r>
        <w:rPr>
          <w:rFonts w:ascii="Times New Roman" w:hAnsi="Times New Roman"/>
          <w:sz w:val="24"/>
          <w:lang w:val="pt-BR"/>
        </w:rPr>
        <w:t>pressuposições</w:t>
      </w:r>
      <w:r w:rsidR="00C9382E">
        <w:rPr>
          <w:rFonts w:ascii="Times New Roman" w:hAnsi="Times New Roman"/>
          <w:sz w:val="24"/>
          <w:lang w:val="pt-BR"/>
        </w:rPr>
        <w:t xml:space="preserve"> </w:t>
      </w:r>
      <w:r w:rsidR="00C9382E" w:rsidRPr="000F1152">
        <w:rPr>
          <w:rFonts w:ascii="Times New Roman" w:hAnsi="Times New Roman"/>
          <w:i/>
          <w:sz w:val="24"/>
          <w:lang w:val="pt-BR"/>
        </w:rPr>
        <w:t>especulativas</w:t>
      </w:r>
      <w:r>
        <w:rPr>
          <w:rFonts w:ascii="Times New Roman" w:hAnsi="Times New Roman"/>
          <w:sz w:val="24"/>
          <w:lang w:val="pt-BR"/>
        </w:rPr>
        <w:t>, é necessário ter uma avaliação quantitativa dos impactos econômicos de uma fusão ou aquisição.</w:t>
      </w:r>
    </w:p>
    <w:p w:rsidR="00B47283" w:rsidRDefault="00B47283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C9382E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É possível identificar pelo </w:t>
      </w:r>
      <w:r w:rsidR="006D6D07">
        <w:rPr>
          <w:rFonts w:ascii="Times New Roman" w:hAnsi="Times New Roman"/>
          <w:sz w:val="24"/>
          <w:lang w:val="pt-BR"/>
        </w:rPr>
        <w:t xml:space="preserve">menos </w:t>
      </w:r>
      <w:r>
        <w:rPr>
          <w:rFonts w:ascii="Times New Roman" w:hAnsi="Times New Roman"/>
          <w:sz w:val="24"/>
          <w:lang w:val="pt-BR"/>
        </w:rPr>
        <w:t xml:space="preserve">cinco </w:t>
      </w:r>
      <w:r w:rsidR="00E2034F">
        <w:rPr>
          <w:rFonts w:ascii="Times New Roman" w:hAnsi="Times New Roman"/>
          <w:sz w:val="24"/>
          <w:lang w:val="pt-BR"/>
        </w:rPr>
        <w:t xml:space="preserve">aspectos pelos quais o uso de </w:t>
      </w:r>
      <w:r>
        <w:rPr>
          <w:rFonts w:ascii="Times New Roman" w:hAnsi="Times New Roman"/>
          <w:sz w:val="24"/>
          <w:lang w:val="pt-BR"/>
        </w:rPr>
        <w:t xml:space="preserve">exercícios de simulação </w:t>
      </w:r>
      <w:r w:rsidR="00E2034F">
        <w:rPr>
          <w:rFonts w:ascii="Times New Roman" w:hAnsi="Times New Roman"/>
          <w:sz w:val="24"/>
          <w:lang w:val="pt-BR"/>
        </w:rPr>
        <w:t>contribu</w:t>
      </w:r>
      <w:r>
        <w:rPr>
          <w:rFonts w:ascii="Times New Roman" w:hAnsi="Times New Roman"/>
          <w:sz w:val="24"/>
          <w:lang w:val="pt-BR"/>
        </w:rPr>
        <w:t xml:space="preserve">i </w:t>
      </w:r>
      <w:r w:rsidR="00E2034F">
        <w:rPr>
          <w:rFonts w:ascii="Times New Roman" w:hAnsi="Times New Roman"/>
          <w:sz w:val="24"/>
          <w:lang w:val="pt-BR"/>
        </w:rPr>
        <w:t xml:space="preserve">para a avaliação dos impactos de </w:t>
      </w:r>
      <w:r>
        <w:rPr>
          <w:rFonts w:ascii="Times New Roman" w:hAnsi="Times New Roman"/>
          <w:sz w:val="24"/>
          <w:lang w:val="pt-BR"/>
        </w:rPr>
        <w:t>uma operação</w:t>
      </w:r>
      <w:r w:rsidR="00E2034F">
        <w:rPr>
          <w:rFonts w:ascii="Times New Roman" w:hAnsi="Times New Roman"/>
          <w:sz w:val="24"/>
          <w:lang w:val="pt-BR"/>
        </w:rPr>
        <w:t xml:space="preserve"> de fusão e aquisição de empresas:</w:t>
      </w:r>
    </w:p>
    <w:p w:rsidR="00E2034F" w:rsidRDefault="00E2034F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C9382E" w:rsidP="00C9382E">
      <w:pPr>
        <w:numPr>
          <w:ilvl w:val="0"/>
          <w:numId w:val="5"/>
        </w:num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</w:t>
      </w:r>
      <w:r w:rsidR="00E2034F">
        <w:rPr>
          <w:rFonts w:ascii="Times New Roman" w:hAnsi="Times New Roman"/>
          <w:sz w:val="24"/>
          <w:lang w:val="pt-BR"/>
        </w:rPr>
        <w:t xml:space="preserve">s simulações permitem uma quantificação dos efeitos do exercício unilateral do poder de mercado. </w:t>
      </w:r>
    </w:p>
    <w:p w:rsidR="00E2034F" w:rsidRDefault="00C9382E" w:rsidP="00C9382E">
      <w:pPr>
        <w:numPr>
          <w:ilvl w:val="0"/>
          <w:numId w:val="5"/>
        </w:num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As</w:t>
      </w:r>
      <w:r w:rsidR="00E2034F">
        <w:rPr>
          <w:rFonts w:ascii="Times New Roman" w:hAnsi="Times New Roman"/>
          <w:sz w:val="24"/>
          <w:lang w:val="pt-BR"/>
        </w:rPr>
        <w:t xml:space="preserve"> simulações permitem que se possa fazer um estudo </w:t>
      </w:r>
      <w:r>
        <w:rPr>
          <w:rFonts w:ascii="Times New Roman" w:hAnsi="Times New Roman"/>
          <w:sz w:val="24"/>
          <w:lang w:val="pt-BR"/>
        </w:rPr>
        <w:t>de sensibilidade d</w:t>
      </w:r>
      <w:r w:rsidR="00E2034F">
        <w:rPr>
          <w:rFonts w:ascii="Times New Roman" w:hAnsi="Times New Roman"/>
          <w:sz w:val="24"/>
          <w:lang w:val="pt-BR"/>
        </w:rPr>
        <w:t xml:space="preserve">os resultados diante de alterações nos parâmetros estimados. </w:t>
      </w:r>
    </w:p>
    <w:p w:rsidR="00E2034F" w:rsidRDefault="00C9382E" w:rsidP="00C9382E">
      <w:pPr>
        <w:numPr>
          <w:ilvl w:val="0"/>
          <w:numId w:val="5"/>
        </w:num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N</w:t>
      </w:r>
      <w:r w:rsidR="00E2034F">
        <w:rPr>
          <w:rFonts w:ascii="Times New Roman" w:hAnsi="Times New Roman"/>
          <w:sz w:val="24"/>
          <w:lang w:val="pt-BR"/>
        </w:rPr>
        <w:t>as simulações</w:t>
      </w:r>
      <w:r w:rsidR="000F1152">
        <w:rPr>
          <w:rFonts w:ascii="Times New Roman" w:hAnsi="Times New Roman"/>
          <w:sz w:val="24"/>
          <w:lang w:val="pt-BR"/>
        </w:rPr>
        <w:t>,</w:t>
      </w:r>
      <w:r w:rsidR="00E2034F">
        <w:rPr>
          <w:rFonts w:ascii="Times New Roman" w:hAnsi="Times New Roman"/>
          <w:sz w:val="24"/>
          <w:lang w:val="pt-BR"/>
        </w:rPr>
        <w:t xml:space="preserve"> os diversos efeitos (elevações de preços e reduções de custos marginais, por exemplo) podem ser contrapostos e comparados para </w:t>
      </w:r>
      <w:r>
        <w:rPr>
          <w:rFonts w:ascii="Times New Roman" w:hAnsi="Times New Roman"/>
          <w:sz w:val="24"/>
          <w:lang w:val="pt-BR"/>
        </w:rPr>
        <w:t>obtenção d</w:t>
      </w:r>
      <w:r w:rsidR="00E2034F">
        <w:rPr>
          <w:rFonts w:ascii="Times New Roman" w:hAnsi="Times New Roman"/>
          <w:sz w:val="24"/>
          <w:lang w:val="pt-BR"/>
        </w:rPr>
        <w:t xml:space="preserve">o </w:t>
      </w:r>
      <w:r w:rsidR="00E2034F" w:rsidRPr="000F1152">
        <w:rPr>
          <w:rFonts w:ascii="Times New Roman" w:hAnsi="Times New Roman"/>
          <w:b/>
          <w:sz w:val="24"/>
          <w:lang w:val="pt-BR"/>
        </w:rPr>
        <w:t xml:space="preserve">efeito </w:t>
      </w:r>
      <w:r w:rsidR="00E2034F" w:rsidRPr="000F1152">
        <w:rPr>
          <w:rFonts w:ascii="Times New Roman" w:hAnsi="Times New Roman"/>
          <w:b/>
          <w:i/>
          <w:sz w:val="24"/>
          <w:lang w:val="pt-BR"/>
        </w:rPr>
        <w:t xml:space="preserve">líquido </w:t>
      </w:r>
      <w:r w:rsidR="00E2034F" w:rsidRPr="000F1152">
        <w:rPr>
          <w:rFonts w:ascii="Times New Roman" w:hAnsi="Times New Roman"/>
          <w:b/>
          <w:sz w:val="24"/>
          <w:lang w:val="pt-BR"/>
        </w:rPr>
        <w:t>de um ato de concentração</w:t>
      </w:r>
      <w:r w:rsidR="00E2034F">
        <w:rPr>
          <w:rFonts w:ascii="Times New Roman" w:hAnsi="Times New Roman"/>
          <w:sz w:val="24"/>
          <w:lang w:val="pt-BR"/>
        </w:rPr>
        <w:t xml:space="preserve"> (ou de uma prática restritiva) sobre o bem</w:t>
      </w:r>
      <w:r>
        <w:rPr>
          <w:rFonts w:ascii="Times New Roman" w:hAnsi="Times New Roman"/>
          <w:sz w:val="24"/>
          <w:lang w:val="pt-BR"/>
        </w:rPr>
        <w:t>-</w:t>
      </w:r>
      <w:r w:rsidR="00E2034F">
        <w:rPr>
          <w:rFonts w:ascii="Times New Roman" w:hAnsi="Times New Roman"/>
          <w:sz w:val="24"/>
          <w:lang w:val="pt-BR"/>
        </w:rPr>
        <w:t xml:space="preserve">estar social. </w:t>
      </w:r>
    </w:p>
    <w:p w:rsidR="00E2034F" w:rsidRDefault="00C9382E" w:rsidP="00C9382E">
      <w:pPr>
        <w:numPr>
          <w:ilvl w:val="0"/>
          <w:numId w:val="5"/>
        </w:num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As </w:t>
      </w:r>
      <w:r w:rsidR="00E2034F">
        <w:rPr>
          <w:rFonts w:ascii="Times New Roman" w:hAnsi="Times New Roman"/>
          <w:sz w:val="24"/>
          <w:lang w:val="pt-BR"/>
        </w:rPr>
        <w:t xml:space="preserve">simulações permitem integrar evidências empíricas e qualitativas através das hipóteses adotadas nos modelos estruturais. </w:t>
      </w:r>
    </w:p>
    <w:p w:rsidR="00E2034F" w:rsidRDefault="00C9382E" w:rsidP="004231F4">
      <w:pPr>
        <w:numPr>
          <w:ilvl w:val="0"/>
          <w:numId w:val="5"/>
        </w:num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As</w:t>
      </w:r>
      <w:r w:rsidR="00E2034F">
        <w:rPr>
          <w:rFonts w:ascii="Times New Roman" w:hAnsi="Times New Roman"/>
          <w:sz w:val="24"/>
          <w:lang w:val="pt-BR"/>
        </w:rPr>
        <w:t xml:space="preserve"> simulações permitem a</w:t>
      </w:r>
      <w:r>
        <w:rPr>
          <w:rFonts w:ascii="Times New Roman" w:hAnsi="Times New Roman"/>
          <w:sz w:val="24"/>
          <w:lang w:val="pt-BR"/>
        </w:rPr>
        <w:t xml:space="preserve"> exploração do efeito líquido em </w:t>
      </w:r>
      <w:r w:rsidR="00E2034F">
        <w:rPr>
          <w:rFonts w:ascii="Times New Roman" w:hAnsi="Times New Roman"/>
          <w:sz w:val="24"/>
          <w:lang w:val="pt-BR"/>
        </w:rPr>
        <w:t xml:space="preserve">diferentes alternativas, </w:t>
      </w:r>
      <w:r>
        <w:rPr>
          <w:rFonts w:ascii="Times New Roman" w:hAnsi="Times New Roman"/>
          <w:sz w:val="24"/>
          <w:lang w:val="pt-BR"/>
        </w:rPr>
        <w:t>o que</w:t>
      </w:r>
      <w:r w:rsidR="00E2034F">
        <w:rPr>
          <w:rFonts w:ascii="Times New Roman" w:hAnsi="Times New Roman"/>
          <w:sz w:val="24"/>
          <w:lang w:val="pt-BR"/>
        </w:rPr>
        <w:t xml:space="preserve"> é particularmente importante </w:t>
      </w:r>
      <w:r>
        <w:rPr>
          <w:rFonts w:ascii="Times New Roman" w:hAnsi="Times New Roman"/>
          <w:sz w:val="24"/>
          <w:lang w:val="pt-BR"/>
        </w:rPr>
        <w:t xml:space="preserve">para </w:t>
      </w:r>
      <w:r w:rsidR="00E2034F">
        <w:rPr>
          <w:rFonts w:ascii="Times New Roman" w:hAnsi="Times New Roman"/>
          <w:sz w:val="24"/>
          <w:lang w:val="pt-BR"/>
        </w:rPr>
        <w:t xml:space="preserve">identificar medidas mitigadoras </w:t>
      </w:r>
      <w:r>
        <w:rPr>
          <w:rFonts w:ascii="Times New Roman" w:hAnsi="Times New Roman"/>
          <w:sz w:val="24"/>
          <w:lang w:val="pt-BR"/>
        </w:rPr>
        <w:t xml:space="preserve">que </w:t>
      </w:r>
      <w:r w:rsidR="00E2034F">
        <w:rPr>
          <w:rFonts w:ascii="Times New Roman" w:hAnsi="Times New Roman"/>
          <w:sz w:val="24"/>
          <w:lang w:val="pt-BR"/>
        </w:rPr>
        <w:t>evit</w:t>
      </w:r>
      <w:r>
        <w:rPr>
          <w:rFonts w:ascii="Times New Roman" w:hAnsi="Times New Roman"/>
          <w:sz w:val="24"/>
          <w:lang w:val="pt-BR"/>
        </w:rPr>
        <w:t>em</w:t>
      </w:r>
      <w:r w:rsidR="00E2034F"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os </w:t>
      </w:r>
      <w:r w:rsidR="00E2034F">
        <w:rPr>
          <w:rFonts w:ascii="Times New Roman" w:hAnsi="Times New Roman"/>
          <w:sz w:val="24"/>
          <w:lang w:val="pt-BR"/>
        </w:rPr>
        <w:t xml:space="preserve">efeitos maléficos de uma fusão. </w:t>
      </w:r>
    </w:p>
    <w:p w:rsidR="00C9382E" w:rsidRDefault="00C9382E" w:rsidP="004231F4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C9382E" w:rsidRPr="00C9382E" w:rsidRDefault="00BB79CD" w:rsidP="004231F4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  <w:bookmarkStart w:id="4" w:name="_Toc49609198"/>
      <w:bookmarkStart w:id="5" w:name="_Toc49610653"/>
      <w:r>
        <w:rPr>
          <w:rFonts w:ascii="Times New Roman" w:hAnsi="Times New Roman"/>
          <w:sz w:val="24"/>
          <w:lang w:val="pt-BR"/>
        </w:rPr>
        <w:t>Além disso, de uma maneira indireta</w:t>
      </w:r>
      <w:r w:rsidR="000F1152">
        <w:rPr>
          <w:rFonts w:ascii="Times New Roman" w:hAnsi="Times New Roman"/>
          <w:sz w:val="24"/>
          <w:lang w:val="pt-BR"/>
        </w:rPr>
        <w:t>,</w:t>
      </w:r>
      <w:r>
        <w:rPr>
          <w:rFonts w:ascii="Times New Roman" w:hAnsi="Times New Roman"/>
          <w:sz w:val="24"/>
          <w:lang w:val="pt-BR"/>
        </w:rPr>
        <w:t xml:space="preserve"> o exercício de simulação tem a</w:t>
      </w:r>
      <w:r w:rsidR="00C9382E" w:rsidRPr="00C9382E">
        <w:rPr>
          <w:rFonts w:ascii="Times New Roman" w:hAnsi="Times New Roman"/>
          <w:sz w:val="24"/>
          <w:lang w:val="pt-BR"/>
        </w:rPr>
        <w:t xml:space="preserve"> capacidade de </w:t>
      </w:r>
      <w:r w:rsidR="004231F4">
        <w:rPr>
          <w:rFonts w:ascii="Times New Roman" w:hAnsi="Times New Roman"/>
          <w:sz w:val="24"/>
          <w:lang w:val="pt-BR"/>
        </w:rPr>
        <w:t>evitar longas discussões sobre os mercados relevantes</w:t>
      </w:r>
      <w:r w:rsidR="00C9382E" w:rsidRPr="00C1364C">
        <w:rPr>
          <w:vertAlign w:val="superscript"/>
          <w:lang w:val="pt-BR"/>
        </w:rPr>
        <w:footnoteReference w:id="2"/>
      </w:r>
      <w:r w:rsidR="00C9382E" w:rsidRPr="00C9382E">
        <w:rPr>
          <w:rFonts w:ascii="Times New Roman" w:hAnsi="Times New Roman"/>
          <w:sz w:val="24"/>
          <w:lang w:val="pt-BR"/>
        </w:rPr>
        <w:t xml:space="preserve">. </w:t>
      </w:r>
    </w:p>
    <w:p w:rsidR="000F1152" w:rsidRDefault="000F1152" w:rsidP="00E2034F">
      <w:pPr>
        <w:pStyle w:val="Ttulo2"/>
        <w:spacing w:before="0" w:after="0" w:line="320" w:lineRule="atLeast"/>
      </w:pPr>
    </w:p>
    <w:p w:rsidR="00E2034F" w:rsidRDefault="00E2034F" w:rsidP="00E2034F">
      <w:pPr>
        <w:pStyle w:val="Ttulo2"/>
        <w:spacing w:before="0" w:after="0" w:line="320" w:lineRule="atLeast"/>
      </w:pPr>
      <w:r>
        <w:t>I</w:t>
      </w:r>
      <w:r w:rsidR="00B47283">
        <w:t>V</w:t>
      </w:r>
      <w:r>
        <w:t xml:space="preserve"> – </w:t>
      </w:r>
      <w:r w:rsidR="00C66840">
        <w:t xml:space="preserve">Modelos de </w:t>
      </w:r>
      <w:r>
        <w:t xml:space="preserve">previsão </w:t>
      </w:r>
      <w:bookmarkEnd w:id="4"/>
      <w:bookmarkEnd w:id="5"/>
    </w:p>
    <w:p w:rsidR="00E2034F" w:rsidRDefault="00E2034F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8906BC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Um</w:t>
      </w:r>
      <w:r w:rsidR="00C66840">
        <w:rPr>
          <w:rFonts w:ascii="Times New Roman" w:hAnsi="Times New Roman"/>
          <w:sz w:val="24"/>
          <w:lang w:val="pt-BR"/>
        </w:rPr>
        <w:t xml:space="preserve"> exercício de simulação apresenta</w:t>
      </w:r>
      <w:r w:rsidR="00E2034F">
        <w:rPr>
          <w:rFonts w:ascii="Times New Roman" w:hAnsi="Times New Roman"/>
          <w:sz w:val="24"/>
          <w:lang w:val="pt-BR"/>
        </w:rPr>
        <w:t xml:space="preserve"> os</w:t>
      </w:r>
      <w:r w:rsidR="00C66840">
        <w:rPr>
          <w:rFonts w:ascii="Times New Roman" w:hAnsi="Times New Roman"/>
          <w:sz w:val="24"/>
          <w:lang w:val="pt-BR"/>
        </w:rPr>
        <w:t xml:space="preserve"> seguintes</w:t>
      </w:r>
      <w:r w:rsidR="00E2034F">
        <w:rPr>
          <w:rFonts w:ascii="Times New Roman" w:hAnsi="Times New Roman"/>
          <w:sz w:val="24"/>
          <w:lang w:val="pt-BR"/>
        </w:rPr>
        <w:t xml:space="preserve"> passos envolvidos na análise de um ato de concentração</w:t>
      </w:r>
      <w:r w:rsidR="004231F4">
        <w:rPr>
          <w:rFonts w:ascii="Times New Roman" w:hAnsi="Times New Roman"/>
          <w:sz w:val="24"/>
          <w:lang w:val="pt-BR"/>
        </w:rPr>
        <w:t>:</w:t>
      </w:r>
      <w:r w:rsidR="00E2034F">
        <w:rPr>
          <w:rFonts w:ascii="Times New Roman" w:hAnsi="Times New Roman"/>
          <w:sz w:val="24"/>
          <w:lang w:val="pt-BR"/>
        </w:rPr>
        <w:t xml:space="preserve"> </w:t>
      </w:r>
    </w:p>
    <w:p w:rsidR="00E2034F" w:rsidRDefault="00E2034F" w:rsidP="00E2034F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E2034F" w:rsidP="00E2034F">
      <w:pPr>
        <w:numPr>
          <w:ilvl w:val="0"/>
          <w:numId w:val="2"/>
        </w:numPr>
        <w:spacing w:before="0" w:after="0" w:line="320" w:lineRule="atLeast"/>
        <w:ind w:left="0" w:firstLine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Especificação da forma funcional da demanda e estimação das elasticidades. Quatro formas funcionais de demanda são geralmente consideradas: (i) demanda linear, (ii) demanda de elasticidade constante (log-linear), (iii) logit; e (iv) AIDS, sistema de demanda quase ideal (Almost Ideal Demand System).</w:t>
      </w:r>
    </w:p>
    <w:p w:rsidR="004231F4" w:rsidRDefault="004231F4" w:rsidP="004231F4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E2034F" w:rsidP="00E2034F">
      <w:pPr>
        <w:numPr>
          <w:ilvl w:val="0"/>
          <w:numId w:val="2"/>
        </w:numPr>
        <w:spacing w:before="0" w:after="0" w:line="320" w:lineRule="atLeast"/>
        <w:ind w:left="0" w:firstLine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Escolha do modelo que melhor representa o comportamento dos agentes. </w:t>
      </w:r>
      <w:r w:rsidRPr="00644792">
        <w:rPr>
          <w:rFonts w:ascii="Times New Roman" w:hAnsi="Times New Roman"/>
          <w:i/>
          <w:sz w:val="24"/>
          <w:lang w:val="pt-BR"/>
        </w:rPr>
        <w:t xml:space="preserve">No caso de atos de concentração de produtos diferenciados, geralmente se adota o modelo de Bertrand-Nash em que se assume que o preço é a variável estratégica de curto </w:t>
      </w:r>
      <w:r w:rsidRPr="00644792">
        <w:rPr>
          <w:rFonts w:ascii="Times New Roman" w:hAnsi="Times New Roman"/>
          <w:i/>
          <w:sz w:val="24"/>
          <w:lang w:val="pt-BR"/>
        </w:rPr>
        <w:lastRenderedPageBreak/>
        <w:t>prazo.</w:t>
      </w:r>
      <w:r>
        <w:rPr>
          <w:rFonts w:ascii="Times New Roman" w:hAnsi="Times New Roman"/>
          <w:sz w:val="24"/>
          <w:lang w:val="pt-BR"/>
        </w:rPr>
        <w:t xml:space="preserve"> Um equilíbrio de Bertrand é um conjunto de preços tal que cada competidor está satisfeito com o seu preço dado o preço de seus rivais (equilíbrio de Nash).</w:t>
      </w:r>
    </w:p>
    <w:p w:rsidR="004231F4" w:rsidRDefault="004231F4" w:rsidP="004231F4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E2034F" w:rsidP="004231F4">
      <w:pPr>
        <w:numPr>
          <w:ilvl w:val="0"/>
          <w:numId w:val="2"/>
        </w:numPr>
        <w:spacing w:before="0" w:after="0" w:line="320" w:lineRule="atLeast"/>
        <w:ind w:left="0" w:firstLine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 calibração de um modelo Bertrand para uma simulação de fusão é realizada com observações de </w:t>
      </w:r>
      <w:r>
        <w:rPr>
          <w:rFonts w:ascii="Times New Roman" w:hAnsi="Times New Roman"/>
          <w:i/>
          <w:iCs/>
          <w:sz w:val="24"/>
          <w:lang w:val="pt-BR"/>
        </w:rPr>
        <w:t>market shares</w:t>
      </w:r>
      <w:r>
        <w:rPr>
          <w:rFonts w:ascii="Times New Roman" w:hAnsi="Times New Roman"/>
          <w:sz w:val="24"/>
          <w:lang w:val="pt-BR"/>
        </w:rPr>
        <w:t xml:space="preserve"> (preços e quantidades de cada produto) e das elasticidades da demanda (próprias e cruzadas)</w:t>
      </w:r>
      <w:r>
        <w:rPr>
          <w:rStyle w:val="Refdenotaderodap"/>
          <w:rFonts w:ascii="Times New Roman" w:hAnsi="Times New Roman"/>
          <w:sz w:val="24"/>
          <w:lang w:val="pt-BR"/>
        </w:rPr>
        <w:footnoteReference w:id="3"/>
      </w:r>
      <w:r>
        <w:rPr>
          <w:rFonts w:ascii="Times New Roman" w:hAnsi="Times New Roman"/>
          <w:sz w:val="24"/>
          <w:lang w:val="pt-BR"/>
        </w:rPr>
        <w:t>. Numericamente, são obtidos os custos marginais de forma que os preços e quantidades do equilíbrio de Bertrand sejam consistentes com os dados observados e com a hipótese de maximização de lucros.</w:t>
      </w:r>
    </w:p>
    <w:p w:rsidR="004231F4" w:rsidRDefault="004231F4" w:rsidP="004231F4">
      <w:pPr>
        <w:pStyle w:val="PargrafodaLista"/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E2034F" w:rsidRDefault="00E2034F" w:rsidP="004231F4">
      <w:pPr>
        <w:numPr>
          <w:ilvl w:val="0"/>
          <w:numId w:val="2"/>
        </w:numPr>
        <w:spacing w:before="0" w:after="0" w:line="320" w:lineRule="atLeast"/>
        <w:ind w:left="0" w:firstLine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Uma vez calibrado o modelo, cálculos numéricos são novamente utilizados para a previsão dos preços e quantidades pós-fusão, supondo-se, em geral, custos marginais constantes. Como a estrutura competitiva da indústria é alterada com a fusão, haverá um novo conjunto de preços de modo que as empresas maximizem seus lucros. Isto é, computa-se um novo equilíbrio</w:t>
      </w:r>
      <w:r w:rsidRPr="00D5703F">
        <w:rPr>
          <w:rFonts w:ascii="Times New Roman" w:hAnsi="Times New Roman"/>
          <w:sz w:val="24"/>
          <w:lang w:val="pt-BR"/>
        </w:rPr>
        <w:t>.</w:t>
      </w:r>
    </w:p>
    <w:p w:rsidR="00E2034F" w:rsidRDefault="00E2034F" w:rsidP="00E2034F">
      <w:pPr>
        <w:spacing w:before="0" w:after="0" w:line="320" w:lineRule="atLeast"/>
      </w:pPr>
    </w:p>
    <w:p w:rsidR="00E2034F" w:rsidRDefault="00B47283" w:rsidP="00E2034F">
      <w:pPr>
        <w:spacing w:before="0" w:after="0" w:line="320" w:lineRule="atLeast"/>
        <w:rPr>
          <w:rFonts w:ascii="Times New Roman" w:hAnsi="Times New Roman"/>
          <w:b/>
          <w:sz w:val="24"/>
        </w:rPr>
      </w:pPr>
      <w:r w:rsidRPr="00B47283">
        <w:rPr>
          <w:rFonts w:ascii="Times New Roman" w:hAnsi="Times New Roman"/>
          <w:b/>
          <w:sz w:val="24"/>
        </w:rPr>
        <w:t xml:space="preserve">V </w:t>
      </w:r>
      <w:r>
        <w:rPr>
          <w:rFonts w:ascii="Times New Roman" w:hAnsi="Times New Roman"/>
          <w:b/>
          <w:sz w:val="24"/>
        </w:rPr>
        <w:t>–</w:t>
      </w:r>
      <w:r w:rsidRPr="00B47283">
        <w:rPr>
          <w:rFonts w:ascii="Times New Roman" w:hAnsi="Times New Roman"/>
          <w:b/>
          <w:sz w:val="24"/>
        </w:rPr>
        <w:t xml:space="preserve"> Conclusões</w:t>
      </w:r>
    </w:p>
    <w:p w:rsidR="00B47283" w:rsidRDefault="00B47283" w:rsidP="00E2034F">
      <w:pPr>
        <w:spacing w:before="0" w:after="0" w:line="320" w:lineRule="atLeast"/>
        <w:rPr>
          <w:rFonts w:ascii="Times New Roman" w:hAnsi="Times New Roman"/>
          <w:b/>
          <w:sz w:val="24"/>
        </w:rPr>
      </w:pPr>
    </w:p>
    <w:p w:rsidR="00B47283" w:rsidRDefault="00C66840" w:rsidP="00B47283">
      <w:pPr>
        <w:pStyle w:val="Corpodetexto2"/>
        <w:spacing w:before="0" w:after="0" w:line="320" w:lineRule="atLeas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Exercícios de simulações baseado</w:t>
      </w:r>
      <w:r w:rsidR="00B47283">
        <w:rPr>
          <w:rFonts w:ascii="Times New Roman" w:hAnsi="Times New Roman"/>
          <w:color w:val="auto"/>
          <w:sz w:val="24"/>
        </w:rPr>
        <w:t>s em modelos</w:t>
      </w:r>
      <w:r>
        <w:rPr>
          <w:rFonts w:ascii="Times New Roman" w:hAnsi="Times New Roman"/>
          <w:color w:val="auto"/>
          <w:sz w:val="24"/>
        </w:rPr>
        <w:t xml:space="preserve"> econômicos</w:t>
      </w:r>
      <w:r w:rsidR="00B47283">
        <w:rPr>
          <w:rFonts w:ascii="Times New Roman" w:hAnsi="Times New Roman"/>
          <w:color w:val="auto"/>
          <w:sz w:val="24"/>
        </w:rPr>
        <w:t xml:space="preserve"> geram previsões quantitativas dos efeitos </w:t>
      </w:r>
      <w:r w:rsidR="004231F4">
        <w:rPr>
          <w:rFonts w:ascii="Times New Roman" w:hAnsi="Times New Roman"/>
          <w:color w:val="auto"/>
          <w:sz w:val="24"/>
        </w:rPr>
        <w:t>líquidos sobre o bem estar social resultantes de</w:t>
      </w:r>
      <w:r w:rsidR="00B47283">
        <w:rPr>
          <w:rFonts w:ascii="Times New Roman" w:hAnsi="Times New Roman"/>
          <w:color w:val="auto"/>
          <w:sz w:val="24"/>
        </w:rPr>
        <w:t xml:space="preserve"> uma fusão ou aquisição. P</w:t>
      </w:r>
      <w:r>
        <w:rPr>
          <w:rFonts w:ascii="Times New Roman" w:hAnsi="Times New Roman"/>
          <w:color w:val="auto"/>
          <w:sz w:val="24"/>
        </w:rPr>
        <w:t xml:space="preserve">ossibilitam, assim, </w:t>
      </w:r>
      <w:r w:rsidR="00B47283">
        <w:rPr>
          <w:rFonts w:ascii="Times New Roman" w:hAnsi="Times New Roman"/>
          <w:color w:val="auto"/>
          <w:sz w:val="24"/>
        </w:rPr>
        <w:t xml:space="preserve">que avaliações </w:t>
      </w:r>
      <w:r w:rsidR="004231F4">
        <w:rPr>
          <w:rFonts w:ascii="Times New Roman" w:hAnsi="Times New Roman"/>
          <w:color w:val="auto"/>
          <w:sz w:val="24"/>
        </w:rPr>
        <w:t xml:space="preserve">sobre tais efeitos </w:t>
      </w:r>
      <w:r w:rsidR="00B47283">
        <w:rPr>
          <w:rFonts w:ascii="Times New Roman" w:hAnsi="Times New Roman"/>
          <w:color w:val="auto"/>
          <w:sz w:val="24"/>
        </w:rPr>
        <w:t>sejam feit</w:t>
      </w:r>
      <w:r>
        <w:rPr>
          <w:rFonts w:ascii="Times New Roman" w:hAnsi="Times New Roman"/>
          <w:color w:val="auto"/>
          <w:sz w:val="24"/>
        </w:rPr>
        <w:t>a</w:t>
      </w:r>
      <w:r w:rsidR="00B47283">
        <w:rPr>
          <w:rFonts w:ascii="Times New Roman" w:hAnsi="Times New Roman"/>
          <w:color w:val="auto"/>
          <w:sz w:val="24"/>
        </w:rPr>
        <w:t xml:space="preserve">s com base em </w:t>
      </w:r>
      <w:r>
        <w:rPr>
          <w:rFonts w:ascii="Times New Roman" w:hAnsi="Times New Roman"/>
          <w:color w:val="auto"/>
          <w:sz w:val="24"/>
        </w:rPr>
        <w:t>medidas objetivas</w:t>
      </w:r>
      <w:r w:rsidR="00B47283">
        <w:rPr>
          <w:rFonts w:ascii="Times New Roman" w:hAnsi="Times New Roman"/>
          <w:color w:val="auto"/>
          <w:sz w:val="24"/>
        </w:rPr>
        <w:t xml:space="preserve">. A utilização de análises quantitativas, quando </w:t>
      </w:r>
      <w:r>
        <w:rPr>
          <w:rFonts w:ascii="Times New Roman" w:hAnsi="Times New Roman"/>
          <w:color w:val="auto"/>
          <w:sz w:val="24"/>
        </w:rPr>
        <w:t xml:space="preserve">adequadamente </w:t>
      </w:r>
      <w:r w:rsidR="00B47283">
        <w:rPr>
          <w:rFonts w:ascii="Times New Roman" w:hAnsi="Times New Roman"/>
          <w:color w:val="auto"/>
          <w:sz w:val="24"/>
        </w:rPr>
        <w:t>baseadas em informações sobre o caso e fundadas em modelos amplamente aceitos de monopólio e oligopólio, aumenta significativamente o foco e a precisão das análises antitrustes de atos de concentração horizontais em vários aspectos.</w:t>
      </w:r>
    </w:p>
    <w:p w:rsidR="00B47283" w:rsidRDefault="00B47283" w:rsidP="00B47283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B47283" w:rsidRDefault="00C66840" w:rsidP="00B47283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Embora ainda a</w:t>
      </w:r>
      <w:r w:rsidR="00B47283">
        <w:rPr>
          <w:rFonts w:ascii="Times New Roman" w:hAnsi="Times New Roman"/>
          <w:sz w:val="24"/>
          <w:lang w:val="pt-BR"/>
        </w:rPr>
        <w:t>lguns economistas e advogados tend</w:t>
      </w:r>
      <w:r>
        <w:rPr>
          <w:rFonts w:ascii="Times New Roman" w:hAnsi="Times New Roman"/>
          <w:sz w:val="24"/>
          <w:lang w:val="pt-BR"/>
        </w:rPr>
        <w:t>a</w:t>
      </w:r>
      <w:r w:rsidR="00B47283">
        <w:rPr>
          <w:rFonts w:ascii="Times New Roman" w:hAnsi="Times New Roman"/>
          <w:sz w:val="24"/>
          <w:lang w:val="pt-BR"/>
        </w:rPr>
        <w:t>m a ser relutantes com relação ao uso d</w:t>
      </w:r>
      <w:r>
        <w:rPr>
          <w:rFonts w:ascii="Times New Roman" w:hAnsi="Times New Roman"/>
          <w:sz w:val="24"/>
          <w:lang w:val="pt-BR"/>
        </w:rPr>
        <w:t xml:space="preserve">o exercício de </w:t>
      </w:r>
      <w:r w:rsidR="00B47283">
        <w:rPr>
          <w:rFonts w:ascii="Times New Roman" w:hAnsi="Times New Roman"/>
          <w:sz w:val="24"/>
          <w:lang w:val="pt-BR"/>
        </w:rPr>
        <w:t>simulações</w:t>
      </w:r>
      <w:r>
        <w:rPr>
          <w:rFonts w:ascii="Times New Roman" w:hAnsi="Times New Roman"/>
          <w:sz w:val="24"/>
          <w:lang w:val="pt-BR"/>
        </w:rPr>
        <w:t xml:space="preserve"> de fusão</w:t>
      </w:r>
      <w:r w:rsidR="00B47283">
        <w:rPr>
          <w:rFonts w:ascii="Times New Roman" w:hAnsi="Times New Roman"/>
          <w:sz w:val="24"/>
          <w:lang w:val="pt-BR"/>
        </w:rPr>
        <w:t>, por acreditar</w:t>
      </w:r>
      <w:r>
        <w:rPr>
          <w:rFonts w:ascii="Times New Roman" w:hAnsi="Times New Roman"/>
          <w:sz w:val="24"/>
          <w:lang w:val="pt-BR"/>
        </w:rPr>
        <w:t>em</w:t>
      </w:r>
      <w:r w:rsidR="00B47283">
        <w:rPr>
          <w:rFonts w:ascii="Times New Roman" w:hAnsi="Times New Roman"/>
          <w:sz w:val="24"/>
          <w:lang w:val="pt-BR"/>
        </w:rPr>
        <w:t xml:space="preserve"> que </w:t>
      </w:r>
      <w:r w:rsidR="008906BC">
        <w:rPr>
          <w:rFonts w:ascii="Times New Roman" w:hAnsi="Times New Roman"/>
          <w:sz w:val="24"/>
          <w:lang w:val="pt-BR"/>
        </w:rPr>
        <w:t>não possam ser</w:t>
      </w:r>
      <w:r w:rsidR="00B47283">
        <w:rPr>
          <w:rFonts w:ascii="Times New Roman" w:hAnsi="Times New Roman"/>
          <w:sz w:val="24"/>
          <w:lang w:val="pt-BR"/>
        </w:rPr>
        <w:t xml:space="preserve"> adequadamente compreendidas, tornando-se uma “caixa preta”</w:t>
      </w:r>
      <w:r>
        <w:rPr>
          <w:rFonts w:ascii="Times New Roman" w:hAnsi="Times New Roman"/>
          <w:sz w:val="24"/>
          <w:lang w:val="pt-BR"/>
        </w:rPr>
        <w:t>, a difusão desta técnica tem crescido significativamente</w:t>
      </w:r>
      <w:r w:rsidR="00B47283">
        <w:rPr>
          <w:rFonts w:ascii="Times New Roman" w:hAnsi="Times New Roman"/>
          <w:sz w:val="24"/>
          <w:lang w:val="pt-BR"/>
        </w:rPr>
        <w:t xml:space="preserve">. </w:t>
      </w:r>
      <w:r>
        <w:rPr>
          <w:rFonts w:ascii="Times New Roman" w:hAnsi="Times New Roman"/>
          <w:sz w:val="24"/>
          <w:lang w:val="pt-BR"/>
        </w:rPr>
        <w:t xml:space="preserve">Defendemos </w:t>
      </w:r>
      <w:r w:rsidR="008906BC">
        <w:rPr>
          <w:rFonts w:ascii="Times New Roman" w:hAnsi="Times New Roman"/>
          <w:sz w:val="24"/>
          <w:lang w:val="pt-BR"/>
        </w:rPr>
        <w:t xml:space="preserve">a posição de que </w:t>
      </w:r>
      <w:r w:rsidR="00B47283">
        <w:rPr>
          <w:rFonts w:ascii="Times New Roman" w:hAnsi="Times New Roman"/>
          <w:sz w:val="24"/>
          <w:lang w:val="pt-BR"/>
        </w:rPr>
        <w:t xml:space="preserve">quando </w:t>
      </w:r>
      <w:r w:rsidR="008906BC">
        <w:rPr>
          <w:rFonts w:ascii="Times New Roman" w:hAnsi="Times New Roman"/>
          <w:sz w:val="24"/>
          <w:lang w:val="pt-BR"/>
        </w:rPr>
        <w:t xml:space="preserve">os </w:t>
      </w:r>
      <w:r w:rsidR="00B47283">
        <w:rPr>
          <w:rFonts w:ascii="Times New Roman" w:hAnsi="Times New Roman"/>
          <w:sz w:val="24"/>
          <w:lang w:val="pt-BR"/>
        </w:rPr>
        <w:t>modelos</w:t>
      </w:r>
      <w:r w:rsidR="008906BC">
        <w:rPr>
          <w:rFonts w:ascii="Times New Roman" w:hAnsi="Times New Roman"/>
          <w:sz w:val="24"/>
          <w:lang w:val="pt-BR"/>
        </w:rPr>
        <w:t>, quando</w:t>
      </w:r>
      <w:r w:rsidR="00B47283">
        <w:rPr>
          <w:rFonts w:ascii="Times New Roman" w:hAnsi="Times New Roman"/>
          <w:sz w:val="24"/>
          <w:lang w:val="pt-BR"/>
        </w:rPr>
        <w:t xml:space="preserve"> são utilizados e apresentados adequadamente, </w:t>
      </w:r>
      <w:r w:rsidR="008906BC">
        <w:rPr>
          <w:rFonts w:ascii="Times New Roman" w:hAnsi="Times New Roman"/>
          <w:sz w:val="24"/>
          <w:lang w:val="pt-BR"/>
        </w:rPr>
        <w:t xml:space="preserve">são virtuosos para </w:t>
      </w:r>
      <w:r w:rsidR="00B47283">
        <w:rPr>
          <w:rFonts w:ascii="Times New Roman" w:hAnsi="Times New Roman"/>
          <w:sz w:val="24"/>
          <w:lang w:val="pt-BR"/>
        </w:rPr>
        <w:t>explicita</w:t>
      </w:r>
      <w:r w:rsidR="008906BC">
        <w:rPr>
          <w:rFonts w:ascii="Times New Roman" w:hAnsi="Times New Roman"/>
          <w:sz w:val="24"/>
          <w:lang w:val="pt-BR"/>
        </w:rPr>
        <w:t>re</w:t>
      </w:r>
      <w:r w:rsidR="00B47283">
        <w:rPr>
          <w:rFonts w:ascii="Times New Roman" w:hAnsi="Times New Roman"/>
          <w:sz w:val="24"/>
          <w:lang w:val="pt-BR"/>
        </w:rPr>
        <w:t>m</w:t>
      </w:r>
      <w:r w:rsidR="008906BC">
        <w:rPr>
          <w:rFonts w:ascii="Times New Roman" w:hAnsi="Times New Roman"/>
          <w:sz w:val="24"/>
          <w:lang w:val="pt-BR"/>
        </w:rPr>
        <w:t xml:space="preserve"> de maneira clara</w:t>
      </w:r>
      <w:r w:rsidR="00B47283">
        <w:rPr>
          <w:rFonts w:ascii="Times New Roman" w:hAnsi="Times New Roman"/>
          <w:sz w:val="24"/>
          <w:lang w:val="pt-BR"/>
        </w:rPr>
        <w:t xml:space="preserve"> a forma como as conclusões decorrem dos fatos associados ao caso em questão. </w:t>
      </w:r>
    </w:p>
    <w:p w:rsidR="00B47283" w:rsidRDefault="00B47283" w:rsidP="00B47283">
      <w:pPr>
        <w:spacing w:before="0" w:after="0" w:line="320" w:lineRule="atLeast"/>
        <w:rPr>
          <w:rFonts w:ascii="Times New Roman" w:hAnsi="Times New Roman"/>
          <w:sz w:val="24"/>
          <w:lang w:val="pt-BR"/>
        </w:rPr>
      </w:pPr>
    </w:p>
    <w:p w:rsidR="00B47283" w:rsidRPr="00B47283" w:rsidRDefault="00B47283" w:rsidP="00E2034F">
      <w:pPr>
        <w:spacing w:before="0" w:after="0" w:line="320" w:lineRule="atLeast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Uma vez explicitadas, as hipóteses </w:t>
      </w:r>
      <w:r w:rsidR="008906BC">
        <w:rPr>
          <w:rFonts w:ascii="Times New Roman" w:hAnsi="Times New Roman"/>
          <w:sz w:val="24"/>
          <w:lang w:val="pt-BR"/>
        </w:rPr>
        <w:t xml:space="preserve">que sustentam o modelo </w:t>
      </w:r>
      <w:r>
        <w:rPr>
          <w:rFonts w:ascii="Times New Roman" w:hAnsi="Times New Roman"/>
          <w:sz w:val="24"/>
          <w:lang w:val="pt-BR"/>
        </w:rPr>
        <w:t>podem ser discutidas, atacadas e defendidas, com base nos fatos disponíveis. O uso de simulações econômicas transforma, assim, a batalha dos peritos no que ela deveria ser: um debate sobre argumentos econômicos que ligam fatos estabelecidos a conclusões. Análises e modelos econômicos identificam as ligações que são de fato importantes, colocando-as em termos compreensíveis.</w:t>
      </w:r>
    </w:p>
    <w:sectPr w:rsidR="00B47283" w:rsidRPr="00B47283" w:rsidSect="005D0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1A" w:rsidRDefault="00EA171A" w:rsidP="00E2034F">
      <w:pPr>
        <w:spacing w:before="0" w:after="0" w:line="240" w:lineRule="auto"/>
      </w:pPr>
      <w:r>
        <w:separator/>
      </w:r>
    </w:p>
  </w:endnote>
  <w:endnote w:type="continuationSeparator" w:id="0">
    <w:p w:rsidR="00EA171A" w:rsidRDefault="00EA171A" w:rsidP="00E203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1A" w:rsidRDefault="00EA171A" w:rsidP="00E2034F">
      <w:pPr>
        <w:spacing w:before="0" w:after="0" w:line="240" w:lineRule="auto"/>
      </w:pPr>
      <w:r>
        <w:separator/>
      </w:r>
    </w:p>
  </w:footnote>
  <w:footnote w:type="continuationSeparator" w:id="0">
    <w:p w:rsidR="00EA171A" w:rsidRDefault="00EA171A" w:rsidP="00E2034F">
      <w:pPr>
        <w:spacing w:before="0" w:after="0" w:line="240" w:lineRule="auto"/>
      </w:pPr>
      <w:r>
        <w:continuationSeparator/>
      </w:r>
    </w:p>
  </w:footnote>
  <w:footnote w:id="1">
    <w:p w:rsidR="000F1152" w:rsidRPr="000F1152" w:rsidRDefault="000F1152" w:rsidP="000F1152">
      <w:pPr>
        <w:spacing w:before="0" w:after="0" w:line="240" w:lineRule="auto"/>
        <w:rPr>
          <w:szCs w:val="20"/>
          <w:lang w:val="pt-BR"/>
        </w:rPr>
      </w:pPr>
      <w:r w:rsidRPr="000F1152">
        <w:rPr>
          <w:rStyle w:val="Refdenotaderodap"/>
          <w:szCs w:val="20"/>
        </w:rPr>
        <w:footnoteRef/>
      </w:r>
      <w:r w:rsidRPr="000F1152">
        <w:rPr>
          <w:szCs w:val="20"/>
          <w:lang w:val="pt-BR"/>
        </w:rPr>
        <w:t xml:space="preserve"> </w:t>
      </w:r>
      <w:r w:rsidRPr="000F1152">
        <w:rPr>
          <w:rFonts w:ascii="Times New Roman" w:hAnsi="Times New Roman"/>
          <w:szCs w:val="20"/>
          <w:lang w:val="pt-BR"/>
        </w:rPr>
        <w:t xml:space="preserve">Modelos dinâmicos ainda representam altíssimo custo-benefício para ser operacionalizado, o que impossibilita ainda sua utilização em avaliações antitruste.   </w:t>
      </w:r>
    </w:p>
  </w:footnote>
  <w:footnote w:id="2">
    <w:p w:rsidR="00C9382E" w:rsidRPr="00C1364C" w:rsidRDefault="00C9382E" w:rsidP="000F1152">
      <w:pPr>
        <w:pStyle w:val="Textodenotaderodap"/>
        <w:spacing w:line="240" w:lineRule="auto"/>
        <w:rPr>
          <w:rFonts w:ascii="Times New Roman" w:hAnsi="Times New Roman"/>
        </w:rPr>
      </w:pPr>
      <w:r w:rsidRPr="00C1364C">
        <w:rPr>
          <w:rStyle w:val="Refdenotaderodap"/>
          <w:rFonts w:ascii="Times New Roman" w:hAnsi="Times New Roman"/>
        </w:rPr>
        <w:footnoteRef/>
      </w:r>
      <w:r w:rsidRPr="00C1364C">
        <w:rPr>
          <w:rFonts w:ascii="Times New Roman" w:hAnsi="Times New Roman"/>
          <w:lang w:val="en-US"/>
        </w:rPr>
        <w:t xml:space="preserve"> Rubinfel,DL and RL Bridges (sem data). </w:t>
      </w:r>
      <w:r w:rsidRPr="00C1364C">
        <w:rPr>
          <w:rFonts w:ascii="Times New Roman" w:hAnsi="Times New Roman"/>
        </w:rPr>
        <w:t xml:space="preserve">“Market Definition”. Texto disponível no site abaixo em setembro de 2009. http://www.law.berkeley.edu/faculty/rubinfeldd/Profile/publications/Market%20Definition_Notes.pdf. </w:t>
      </w:r>
    </w:p>
  </w:footnote>
  <w:footnote w:id="3">
    <w:p w:rsidR="00E2034F" w:rsidRDefault="00E2034F" w:rsidP="00E2034F">
      <w:pPr>
        <w:pStyle w:val="Textodenotaderodap"/>
        <w:spacing w:before="0" w:after="0" w:line="240" w:lineRule="auto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É conveniente lembrar que a </w:t>
      </w:r>
      <w:r>
        <w:rPr>
          <w:rFonts w:ascii="Times New Roman" w:hAnsi="Times New Roman"/>
          <w:u w:val="single"/>
        </w:rPr>
        <w:t>elasticidade própria</w:t>
      </w:r>
      <w:r>
        <w:rPr>
          <w:rFonts w:ascii="Times New Roman" w:hAnsi="Times New Roman"/>
        </w:rPr>
        <w:t xml:space="preserve"> da demanda pelo bem A mostra o quanto a quantidade demandada de A sobe (cai) quando cai (sobe) o preço de A. A elasticidade cruzada da demanda pelo bem A, relativamente ao bem B (que pode ser substituto ou complementar), mostra como se comporta a quantidade demandada de A quando varia o preço de B.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0081"/>
    <w:multiLevelType w:val="hybridMultilevel"/>
    <w:tmpl w:val="EC843AB8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7935C1"/>
    <w:multiLevelType w:val="hybridMultilevel"/>
    <w:tmpl w:val="5C4439BA"/>
    <w:lvl w:ilvl="0" w:tplc="E5F20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E3DE5"/>
    <w:multiLevelType w:val="hybridMultilevel"/>
    <w:tmpl w:val="6F5CA772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D97211"/>
    <w:multiLevelType w:val="hybridMultilevel"/>
    <w:tmpl w:val="D3B0B3EE"/>
    <w:lvl w:ilvl="0" w:tplc="E5F20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723473"/>
    <w:multiLevelType w:val="hybridMultilevel"/>
    <w:tmpl w:val="D8EEC2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4F"/>
    <w:rsid w:val="00033EA2"/>
    <w:rsid w:val="00075415"/>
    <w:rsid w:val="000F1152"/>
    <w:rsid w:val="001E5B2E"/>
    <w:rsid w:val="003A6DD0"/>
    <w:rsid w:val="004231F4"/>
    <w:rsid w:val="004768EC"/>
    <w:rsid w:val="005D0CD0"/>
    <w:rsid w:val="006D6D07"/>
    <w:rsid w:val="00786A8C"/>
    <w:rsid w:val="008040E1"/>
    <w:rsid w:val="008407A8"/>
    <w:rsid w:val="0088374B"/>
    <w:rsid w:val="008906BC"/>
    <w:rsid w:val="0089128A"/>
    <w:rsid w:val="008E54DB"/>
    <w:rsid w:val="00986AA5"/>
    <w:rsid w:val="00A907A7"/>
    <w:rsid w:val="00AC6030"/>
    <w:rsid w:val="00B47283"/>
    <w:rsid w:val="00BB79CD"/>
    <w:rsid w:val="00C1364C"/>
    <w:rsid w:val="00C21E25"/>
    <w:rsid w:val="00C66840"/>
    <w:rsid w:val="00C9382E"/>
    <w:rsid w:val="00CE29A0"/>
    <w:rsid w:val="00CE7CD2"/>
    <w:rsid w:val="00D030C3"/>
    <w:rsid w:val="00E2034F"/>
    <w:rsid w:val="00E412CF"/>
    <w:rsid w:val="00EA171A"/>
    <w:rsid w:val="00F52604"/>
    <w:rsid w:val="00F7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4F"/>
    <w:pPr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4"/>
      <w:lang w:val="en-US" w:eastAsia="pt-BR"/>
    </w:rPr>
  </w:style>
  <w:style w:type="paragraph" w:styleId="Ttulo1">
    <w:name w:val="heading 1"/>
    <w:basedOn w:val="Normal"/>
    <w:next w:val="Normal"/>
    <w:link w:val="Ttulo1Char"/>
    <w:qFormat/>
    <w:rsid w:val="00E2034F"/>
    <w:pPr>
      <w:keepNext/>
      <w:spacing w:before="480" w:after="240"/>
      <w:outlineLvl w:val="0"/>
    </w:pPr>
    <w:rPr>
      <w:rFonts w:ascii="Times New Roman" w:hAnsi="Times New Roman"/>
      <w:b/>
      <w:bCs/>
      <w:kern w:val="32"/>
      <w:sz w:val="24"/>
      <w:lang w:val="pt-BR"/>
    </w:rPr>
  </w:style>
  <w:style w:type="paragraph" w:styleId="Ttulo2">
    <w:name w:val="heading 2"/>
    <w:basedOn w:val="Normal"/>
    <w:next w:val="Normal"/>
    <w:link w:val="Ttulo2Char"/>
    <w:qFormat/>
    <w:rsid w:val="00E2034F"/>
    <w:pPr>
      <w:keepNext/>
      <w:spacing w:before="240"/>
      <w:outlineLvl w:val="1"/>
    </w:pPr>
    <w:rPr>
      <w:rFonts w:ascii="Times New Roman" w:hAnsi="Times New Roman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034F"/>
    <w:rPr>
      <w:rFonts w:ascii="Times New Roman" w:eastAsia="Times New Roman" w:hAnsi="Times New Roman" w:cs="Times New Roman"/>
      <w:b/>
      <w:bC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203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034F"/>
    <w:pPr>
      <w:spacing w:before="240" w:after="240"/>
    </w:pPr>
    <w:rPr>
      <w:color w:val="FF0000"/>
      <w:lang w:val="pt-BR"/>
    </w:rPr>
  </w:style>
  <w:style w:type="character" w:customStyle="1" w:styleId="Corpodetexto2Char">
    <w:name w:val="Corpo de texto 2 Char"/>
    <w:basedOn w:val="Fontepargpadro"/>
    <w:link w:val="Corpodetexto2"/>
    <w:rsid w:val="00E2034F"/>
    <w:rPr>
      <w:rFonts w:ascii="Arial" w:eastAsia="Times New Roman" w:hAnsi="Arial" w:cs="Times New Roman"/>
      <w:color w:val="FF0000"/>
      <w:sz w:val="20"/>
      <w:szCs w:val="24"/>
      <w:lang w:eastAsia="pt-BR"/>
    </w:rPr>
  </w:style>
  <w:style w:type="character" w:styleId="Refdenotaderodap">
    <w:name w:val="footnote reference"/>
    <w:basedOn w:val="Fontepargpadro"/>
    <w:semiHidden/>
    <w:rsid w:val="00E2034F"/>
    <w:rPr>
      <w:vertAlign w:val="superscript"/>
    </w:rPr>
  </w:style>
  <w:style w:type="paragraph" w:styleId="Textodenotaderodap">
    <w:name w:val="footnote text"/>
    <w:aliases w:val="Texto de nota de rodapé Char Char Char,Texto de nota de rodapé Char Char,Footnote Text Char Car"/>
    <w:basedOn w:val="Normal"/>
    <w:link w:val="TextodenotaderodapChar"/>
    <w:semiHidden/>
    <w:rsid w:val="00E2034F"/>
    <w:rPr>
      <w:szCs w:val="20"/>
      <w:lang w:val="pt-BR"/>
    </w:rPr>
  </w:style>
  <w:style w:type="character" w:customStyle="1" w:styleId="TextodenotaderodapChar">
    <w:name w:val="Texto de nota de rodapé Char"/>
    <w:aliases w:val="Texto de nota de rodapé Char Char Char Char1,Texto de nota de rodapé Char Char Char2,Footnote Text Char Car Char1"/>
    <w:basedOn w:val="Fontepargpadro"/>
    <w:link w:val="Textodenotaderodap"/>
    <w:semiHidden/>
    <w:rsid w:val="00E2034F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1">
    <w:name w:val="Texto de nota de rodapé Char1"/>
    <w:aliases w:val="Texto de nota de rodapé Char Char1,Texto de nota de rodapé Char Char Char Char,Texto de nota de rodapé Char Char Char1,Footnote Text Char Car Char"/>
    <w:basedOn w:val="Fontepargpadro"/>
    <w:semiHidden/>
    <w:rsid w:val="00C9382E"/>
  </w:style>
  <w:style w:type="paragraph" w:styleId="PargrafodaLista">
    <w:name w:val="List Paragraph"/>
    <w:basedOn w:val="Normal"/>
    <w:uiPriority w:val="34"/>
    <w:qFormat/>
    <w:rsid w:val="00C93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FBEB-0DD3-45C7-9AA0-B3BC62EE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1523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Fagundes</dc:creator>
  <cp:keywords/>
  <dc:description/>
  <cp:lastModifiedBy>Fagundes</cp:lastModifiedBy>
  <cp:revision>3</cp:revision>
  <dcterms:created xsi:type="dcterms:W3CDTF">2010-08-31T22:30:00Z</dcterms:created>
  <dcterms:modified xsi:type="dcterms:W3CDTF">2010-08-31T22:44:00Z</dcterms:modified>
</cp:coreProperties>
</file>